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21"/>
        <w:ind w:left="305" w:right="0" w:firstLine="0"/>
        <w:jc w:val="center"/>
        <w:rPr>
          <w:b/>
          <w:sz w:val="72"/>
        </w:rPr>
      </w:pPr>
      <w:r>
        <w:rPr>
          <w:b/>
          <w:sz w:val="72"/>
        </w:rPr>
        <w:t>建设项目环境影响报告表</w:t>
      </w:r>
    </w:p>
    <w:p>
      <w:pPr>
        <w:spacing w:before="88"/>
        <w:ind w:left="262" w:right="0" w:firstLine="0"/>
        <w:jc w:val="center"/>
        <w:rPr>
          <w:b/>
          <w:sz w:val="36"/>
        </w:rPr>
      </w:pPr>
      <w:r>
        <w:rPr>
          <w:b/>
          <w:sz w:val="36"/>
        </w:rPr>
        <w:t>（报批版）</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7"/>
        <w:rPr>
          <w:b/>
          <w:sz w:val="27"/>
        </w:rPr>
      </w:pPr>
    </w:p>
    <w:p>
      <w:pPr>
        <w:tabs>
          <w:tab w:pos="2776" w:val="left" w:leader="none"/>
          <w:tab w:pos="8384" w:val="left" w:leader="none"/>
        </w:tabs>
        <w:spacing w:before="0"/>
        <w:ind w:left="300" w:right="0" w:firstLine="0"/>
        <w:jc w:val="center"/>
        <w:rPr>
          <w:b/>
          <w:sz w:val="36"/>
        </w:rPr>
      </w:pPr>
      <w:r>
        <w:rPr>
          <w:b/>
          <w:sz w:val="36"/>
        </w:rPr>
        <w:t>项</w:t>
      </w:r>
      <w:r>
        <w:rPr>
          <w:b/>
          <w:spacing w:val="-82"/>
          <w:sz w:val="36"/>
        </w:rPr>
        <w:t> </w:t>
      </w:r>
      <w:r>
        <w:rPr>
          <w:b/>
          <w:sz w:val="36"/>
        </w:rPr>
        <w:t>目</w:t>
      </w:r>
      <w:r>
        <w:rPr>
          <w:b/>
          <w:spacing w:val="-80"/>
          <w:sz w:val="36"/>
        </w:rPr>
        <w:t> </w:t>
      </w:r>
      <w:r>
        <w:rPr>
          <w:b/>
          <w:sz w:val="36"/>
        </w:rPr>
        <w:t>名</w:t>
      </w:r>
      <w:r>
        <w:rPr>
          <w:b/>
          <w:spacing w:val="-82"/>
          <w:sz w:val="36"/>
        </w:rPr>
        <w:t> </w:t>
      </w:r>
      <w:r>
        <w:rPr>
          <w:b/>
          <w:sz w:val="36"/>
        </w:rPr>
        <w:t>称</w:t>
      </w:r>
      <w:r>
        <w:rPr>
          <w:b/>
          <w:spacing w:val="-82"/>
          <w:sz w:val="36"/>
        </w:rPr>
        <w:t> </w:t>
      </w:r>
      <w:r>
        <w:rPr>
          <w:rFonts w:ascii="Times New Roman" w:eastAsia="Times New Roman"/>
          <w:b/>
          <w:spacing w:val="7"/>
          <w:sz w:val="36"/>
        </w:rPr>
        <w:t>:</w:t>
      </w:r>
      <w:r>
        <w:rPr>
          <w:rFonts w:ascii="Times New Roman" w:eastAsia="Times New Roman"/>
          <w:b/>
          <w:spacing w:val="7"/>
          <w:sz w:val="36"/>
          <w:u w:val="thick"/>
        </w:rPr>
        <w:t> </w:t>
        <w:tab/>
      </w:r>
      <w:r>
        <w:rPr>
          <w:b/>
          <w:spacing w:val="-12"/>
          <w:w w:val="95"/>
          <w:sz w:val="36"/>
          <w:u w:val="thick"/>
        </w:rPr>
        <w:t>金</w:t>
      </w:r>
      <w:r>
        <w:rPr>
          <w:b/>
          <w:spacing w:val="-10"/>
          <w:w w:val="95"/>
          <w:sz w:val="36"/>
          <w:u w:val="thick"/>
        </w:rPr>
        <w:t>坑</w:t>
      </w:r>
      <w:r>
        <w:rPr>
          <w:b/>
          <w:spacing w:val="-12"/>
          <w:w w:val="95"/>
          <w:sz w:val="36"/>
          <w:u w:val="thick"/>
        </w:rPr>
        <w:t>村</w:t>
      </w:r>
      <w:r>
        <w:rPr>
          <w:b/>
          <w:spacing w:val="-10"/>
          <w:w w:val="95"/>
          <w:sz w:val="36"/>
          <w:u w:val="thick"/>
        </w:rPr>
        <w:t>沟</w:t>
      </w:r>
      <w:r>
        <w:rPr>
          <w:b/>
          <w:spacing w:val="-12"/>
          <w:w w:val="95"/>
          <w:sz w:val="36"/>
          <w:u w:val="thick"/>
        </w:rPr>
        <w:t>南</w:t>
      </w:r>
      <w:r>
        <w:rPr>
          <w:b/>
          <w:spacing w:val="-10"/>
          <w:w w:val="95"/>
          <w:sz w:val="36"/>
          <w:u w:val="thick"/>
        </w:rPr>
        <w:t>砖瓦</w:t>
      </w:r>
      <w:r>
        <w:rPr>
          <w:b/>
          <w:spacing w:val="-12"/>
          <w:w w:val="95"/>
          <w:sz w:val="36"/>
          <w:u w:val="thick"/>
        </w:rPr>
        <w:t>用</w:t>
      </w:r>
      <w:r>
        <w:rPr>
          <w:b/>
          <w:spacing w:val="-10"/>
          <w:w w:val="95"/>
          <w:sz w:val="36"/>
          <w:u w:val="thick"/>
        </w:rPr>
        <w:t>页</w:t>
      </w:r>
      <w:r>
        <w:rPr>
          <w:b/>
          <w:spacing w:val="-12"/>
          <w:w w:val="95"/>
          <w:sz w:val="36"/>
          <w:u w:val="thick"/>
        </w:rPr>
        <w:t>岩</w:t>
      </w:r>
      <w:r>
        <w:rPr>
          <w:b/>
          <w:spacing w:val="-10"/>
          <w:w w:val="95"/>
          <w:sz w:val="36"/>
          <w:u w:val="thick"/>
        </w:rPr>
        <w:t>矿</w:t>
      </w:r>
      <w:r>
        <w:rPr>
          <w:b/>
          <w:spacing w:val="-12"/>
          <w:w w:val="95"/>
          <w:sz w:val="36"/>
          <w:u w:val="thick"/>
        </w:rPr>
        <w:t>开</w:t>
      </w:r>
      <w:r>
        <w:rPr>
          <w:b/>
          <w:spacing w:val="-10"/>
          <w:w w:val="95"/>
          <w:sz w:val="36"/>
          <w:u w:val="thick"/>
        </w:rPr>
        <w:t>采项</w:t>
      </w:r>
      <w:r>
        <w:rPr>
          <w:b/>
          <w:w w:val="95"/>
          <w:sz w:val="36"/>
          <w:u w:val="thick"/>
        </w:rPr>
        <w:t>目</w:t>
      </w:r>
      <w:r>
        <w:rPr>
          <w:b/>
          <w:sz w:val="36"/>
          <w:u w:val="thick"/>
        </w:rPr>
        <w:tab/>
      </w:r>
    </w:p>
    <w:p>
      <w:pPr>
        <w:pStyle w:val="BodyText"/>
        <w:rPr>
          <w:b/>
          <w:sz w:val="20"/>
        </w:rPr>
      </w:pPr>
    </w:p>
    <w:p>
      <w:pPr>
        <w:tabs>
          <w:tab w:pos="9270" w:val="left" w:leader="none"/>
        </w:tabs>
        <w:spacing w:before="226"/>
        <w:ind w:left="1111" w:right="0" w:firstLine="0"/>
        <w:jc w:val="left"/>
        <w:rPr>
          <w:b/>
          <w:sz w:val="36"/>
        </w:rPr>
      </w:pPr>
      <w:r>
        <w:rPr>
          <w:b/>
          <w:spacing w:val="-80"/>
          <w:w w:val="95"/>
          <w:sz w:val="36"/>
        </w:rPr>
        <w:t>建</w:t>
      </w:r>
      <w:r>
        <w:rPr>
          <w:b/>
          <w:spacing w:val="-77"/>
          <w:w w:val="95"/>
          <w:sz w:val="36"/>
        </w:rPr>
        <w:t>设</w:t>
      </w:r>
      <w:r>
        <w:rPr>
          <w:b/>
          <w:spacing w:val="-80"/>
          <w:w w:val="95"/>
          <w:sz w:val="36"/>
        </w:rPr>
        <w:t>单位（</w:t>
      </w:r>
      <w:r>
        <w:rPr>
          <w:b/>
          <w:spacing w:val="-77"/>
          <w:w w:val="95"/>
          <w:sz w:val="36"/>
        </w:rPr>
        <w:t>盖</w:t>
      </w:r>
      <w:r>
        <w:rPr>
          <w:b/>
          <w:spacing w:val="-80"/>
          <w:w w:val="95"/>
          <w:sz w:val="36"/>
        </w:rPr>
        <w:t>章</w:t>
      </w:r>
      <w:r>
        <w:rPr>
          <w:b/>
          <w:spacing w:val="-40"/>
          <w:w w:val="95"/>
          <w:sz w:val="36"/>
        </w:rPr>
        <w:t>）</w:t>
      </w:r>
      <w:r>
        <w:rPr>
          <w:rFonts w:ascii="Times New Roman" w:eastAsia="Times New Roman"/>
          <w:b/>
          <w:spacing w:val="-40"/>
          <w:w w:val="95"/>
          <w:sz w:val="36"/>
        </w:rPr>
        <w:t>:</w:t>
      </w:r>
      <w:r>
        <w:rPr>
          <w:b/>
          <w:spacing w:val="-22"/>
          <w:w w:val="95"/>
          <w:sz w:val="36"/>
          <w:u w:val="thick"/>
        </w:rPr>
        <w:t>安</w:t>
      </w:r>
      <w:r>
        <w:rPr>
          <w:b/>
          <w:spacing w:val="-20"/>
          <w:w w:val="95"/>
          <w:sz w:val="36"/>
          <w:u w:val="thick"/>
        </w:rPr>
        <w:t>康</w:t>
      </w:r>
      <w:r>
        <w:rPr>
          <w:b/>
          <w:spacing w:val="-22"/>
          <w:w w:val="95"/>
          <w:sz w:val="36"/>
          <w:u w:val="thick"/>
        </w:rPr>
        <w:t>市</w:t>
      </w:r>
      <w:r>
        <w:rPr>
          <w:b/>
          <w:spacing w:val="-20"/>
          <w:w w:val="95"/>
          <w:sz w:val="36"/>
          <w:u w:val="thick"/>
        </w:rPr>
        <w:t>汉</w:t>
      </w:r>
      <w:r>
        <w:rPr>
          <w:b/>
          <w:spacing w:val="-22"/>
          <w:w w:val="95"/>
          <w:sz w:val="36"/>
          <w:u w:val="thick"/>
        </w:rPr>
        <w:t>滨</w:t>
      </w:r>
      <w:r>
        <w:rPr>
          <w:b/>
          <w:spacing w:val="-20"/>
          <w:w w:val="95"/>
          <w:sz w:val="36"/>
          <w:u w:val="thick"/>
        </w:rPr>
        <w:t>区</w:t>
      </w:r>
      <w:r>
        <w:rPr>
          <w:b/>
          <w:spacing w:val="-22"/>
          <w:w w:val="95"/>
          <w:sz w:val="36"/>
          <w:u w:val="thick"/>
        </w:rPr>
        <w:t>鑫平</w:t>
      </w:r>
      <w:r>
        <w:rPr>
          <w:b/>
          <w:spacing w:val="-20"/>
          <w:w w:val="95"/>
          <w:sz w:val="36"/>
          <w:u w:val="thick"/>
        </w:rPr>
        <w:t>新</w:t>
      </w:r>
      <w:r>
        <w:rPr>
          <w:b/>
          <w:spacing w:val="-22"/>
          <w:w w:val="95"/>
          <w:sz w:val="36"/>
          <w:u w:val="thick"/>
        </w:rPr>
        <w:t>型</w:t>
      </w:r>
      <w:r>
        <w:rPr>
          <w:b/>
          <w:spacing w:val="-20"/>
          <w:w w:val="95"/>
          <w:sz w:val="36"/>
          <w:u w:val="thick"/>
        </w:rPr>
        <w:t>建</w:t>
      </w:r>
      <w:r>
        <w:rPr>
          <w:b/>
          <w:spacing w:val="-22"/>
          <w:w w:val="95"/>
          <w:sz w:val="36"/>
          <w:u w:val="thick"/>
        </w:rPr>
        <w:t>材有</w:t>
      </w:r>
      <w:r>
        <w:rPr>
          <w:b/>
          <w:spacing w:val="-20"/>
          <w:w w:val="95"/>
          <w:sz w:val="36"/>
          <w:u w:val="thick"/>
        </w:rPr>
        <w:t>限</w:t>
      </w:r>
      <w:r>
        <w:rPr>
          <w:b/>
          <w:spacing w:val="-22"/>
          <w:w w:val="95"/>
          <w:sz w:val="36"/>
          <w:u w:val="thick"/>
        </w:rPr>
        <w:t>公</w:t>
      </w:r>
      <w:r>
        <w:rPr>
          <w:b/>
          <w:spacing w:val="-1"/>
          <w:w w:val="95"/>
          <w:sz w:val="36"/>
          <w:u w:val="thick"/>
        </w:rPr>
        <w:t>司</w:t>
      </w:r>
      <w:r>
        <w:rPr>
          <w:b/>
          <w:spacing w:val="-1"/>
          <w:sz w:val="36"/>
          <w:u w:val="thick"/>
        </w:rPr>
        <w:tab/>
      </w:r>
    </w:p>
    <w:p>
      <w:pPr>
        <w:pStyle w:val="BodyText"/>
        <w:rPr>
          <w:b/>
          <w:sz w:val="20"/>
        </w:rPr>
      </w:pPr>
    </w:p>
    <w:p>
      <w:pPr>
        <w:tabs>
          <w:tab w:pos="2685" w:val="left" w:leader="none"/>
        </w:tabs>
        <w:spacing w:before="225"/>
        <w:ind w:left="0" w:right="400" w:firstLine="0"/>
        <w:jc w:val="center"/>
        <w:rPr>
          <w:b/>
          <w:sz w:val="36"/>
        </w:rPr>
      </w:pPr>
      <w:r>
        <w:rPr/>
        <w:pict>
          <v:line style="position:absolute;mso-position-horizontal-relative:page;mso-position-vertical-relative:paragraph;z-index:-256993280" from="204.800003pt,31.930994pt" to="511.650003pt,31.930994pt" stroked="true" strokeweight="1.68pt" strokecolor="#000000">
            <v:stroke dashstyle="solid"/>
            <w10:wrap type="none"/>
          </v:line>
        </w:pict>
      </w:r>
      <w:r>
        <w:rPr>
          <w:b/>
          <w:sz w:val="36"/>
        </w:rPr>
        <w:t>编</w:t>
      </w:r>
      <w:r>
        <w:rPr>
          <w:b/>
          <w:spacing w:val="-82"/>
          <w:sz w:val="36"/>
        </w:rPr>
        <w:t> </w:t>
      </w:r>
      <w:r>
        <w:rPr>
          <w:b/>
          <w:sz w:val="36"/>
        </w:rPr>
        <w:t>制</w:t>
      </w:r>
      <w:r>
        <w:rPr>
          <w:b/>
          <w:spacing w:val="-80"/>
          <w:sz w:val="36"/>
        </w:rPr>
        <w:t> </w:t>
      </w:r>
      <w:r>
        <w:rPr>
          <w:b/>
          <w:sz w:val="36"/>
        </w:rPr>
        <w:t>单</w:t>
      </w:r>
      <w:r>
        <w:rPr>
          <w:b/>
          <w:spacing w:val="-82"/>
          <w:sz w:val="36"/>
        </w:rPr>
        <w:t> </w:t>
      </w:r>
      <w:r>
        <w:rPr>
          <w:b/>
          <w:sz w:val="36"/>
        </w:rPr>
        <w:t>位</w:t>
      </w:r>
      <w:r>
        <w:rPr>
          <w:b/>
          <w:spacing w:val="-82"/>
          <w:sz w:val="36"/>
        </w:rPr>
        <w:t> </w:t>
      </w:r>
      <w:r>
        <w:rPr>
          <w:rFonts w:ascii="Times New Roman" w:eastAsia="Times New Roman"/>
          <w:b/>
          <w:sz w:val="36"/>
        </w:rPr>
        <w:t>:</w:t>
        <w:tab/>
      </w:r>
      <w:r>
        <w:rPr>
          <w:b/>
          <w:sz w:val="36"/>
        </w:rPr>
        <w:t>安康市环境工程设计有限公司</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2"/>
        </w:rPr>
      </w:pPr>
    </w:p>
    <w:p>
      <w:pPr>
        <w:spacing w:line="364" w:lineRule="auto" w:before="65"/>
        <w:ind w:left="3849" w:right="3063" w:hanging="564"/>
        <w:jc w:val="left"/>
        <w:rPr>
          <w:b/>
          <w:sz w:val="32"/>
        </w:rPr>
      </w:pPr>
      <w:r>
        <w:rPr>
          <w:b/>
          <w:sz w:val="32"/>
        </w:rPr>
        <w:t>编制日期： </w:t>
      </w:r>
      <w:r>
        <w:rPr>
          <w:rFonts w:ascii="Times New Roman" w:eastAsia="Times New Roman"/>
          <w:b/>
          <w:sz w:val="32"/>
        </w:rPr>
        <w:t>2019 </w:t>
      </w:r>
      <w:r>
        <w:rPr>
          <w:b/>
          <w:sz w:val="32"/>
        </w:rPr>
        <w:t>年 </w:t>
      </w:r>
      <w:r>
        <w:rPr>
          <w:rFonts w:ascii="Times New Roman" w:eastAsia="Times New Roman"/>
          <w:b/>
          <w:sz w:val="32"/>
        </w:rPr>
        <w:t>6 </w:t>
      </w:r>
      <w:r>
        <w:rPr>
          <w:b/>
          <w:sz w:val="32"/>
        </w:rPr>
        <w:t>月国家环境保护部制</w:t>
      </w:r>
    </w:p>
    <w:p>
      <w:pPr>
        <w:spacing w:after="0" w:line="364" w:lineRule="auto"/>
        <w:jc w:val="left"/>
        <w:rPr>
          <w:sz w:val="32"/>
        </w:rPr>
        <w:sectPr>
          <w:type w:val="continuous"/>
          <w:pgSz w:w="11910" w:h="16840"/>
          <w:pgMar w:top="1580" w:bottom="280" w:left="1020" w:right="8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8"/>
        </w:rPr>
      </w:pPr>
    </w:p>
    <w:p>
      <w:pPr>
        <w:pStyle w:val="BodyText"/>
        <w:spacing w:before="90"/>
        <w:ind w:right="118"/>
        <w:jc w:val="right"/>
        <w:rPr>
          <w:rFonts w:ascii="Times New Roman"/>
        </w:rPr>
      </w:pPr>
      <w:r>
        <w:rPr>
          <w:rFonts w:ascii="Times New Roman"/>
        </w:rPr>
        <w:t>2</w:t>
      </w:r>
    </w:p>
    <w:p>
      <w:pPr>
        <w:spacing w:after="0"/>
        <w:jc w:val="right"/>
        <w:rPr>
          <w:rFonts w:ascii="Times New Roman"/>
        </w:rPr>
        <w:sectPr>
          <w:pgSz w:w="11910" w:h="16840"/>
          <w:pgMar w:top="1580" w:bottom="280" w:left="1020" w:right="880"/>
        </w:sectPr>
      </w:pPr>
    </w:p>
    <w:p>
      <w:pPr>
        <w:pStyle w:val="BodyText"/>
        <w:rPr>
          <w:rFonts w:ascii="Times New Roman"/>
          <w:sz w:val="20"/>
        </w:rPr>
      </w:pPr>
    </w:p>
    <w:p>
      <w:pPr>
        <w:pStyle w:val="BodyText"/>
        <w:rPr>
          <w:rFonts w:ascii="Times New Roman"/>
          <w:sz w:val="17"/>
        </w:rPr>
      </w:pPr>
    </w:p>
    <w:p>
      <w:pPr>
        <w:spacing w:before="50"/>
        <w:ind w:left="375" w:right="400" w:firstLine="0"/>
        <w:jc w:val="center"/>
        <w:rPr>
          <w:rFonts w:ascii="黑体" w:eastAsia="黑体" w:hint="eastAsia"/>
          <w:sz w:val="36"/>
        </w:rPr>
      </w:pPr>
      <w:r>
        <w:rPr>
          <w:rFonts w:ascii="黑体" w:eastAsia="黑体" w:hint="eastAsia"/>
          <w:sz w:val="36"/>
        </w:rPr>
        <w:t>《建设项目环境影响报告表》编制说明</w:t>
      </w:r>
    </w:p>
    <w:p>
      <w:pPr>
        <w:pStyle w:val="BodyText"/>
        <w:rPr>
          <w:rFonts w:ascii="黑体"/>
          <w:sz w:val="36"/>
        </w:rPr>
      </w:pPr>
    </w:p>
    <w:p>
      <w:pPr>
        <w:pStyle w:val="BodyText"/>
        <w:spacing w:before="11"/>
        <w:rPr>
          <w:rFonts w:ascii="黑体"/>
          <w:sz w:val="35"/>
        </w:rPr>
      </w:pPr>
    </w:p>
    <w:p>
      <w:pPr>
        <w:spacing w:line="412" w:lineRule="auto" w:before="0"/>
        <w:ind w:left="227" w:right="251" w:firstLine="638"/>
        <w:jc w:val="left"/>
        <w:rPr>
          <w:sz w:val="30"/>
        </w:rPr>
      </w:pPr>
      <w:r>
        <w:rPr>
          <w:spacing w:val="-10"/>
          <w:sz w:val="30"/>
        </w:rPr>
        <w:t>《建设项目环境影响报告表》由具有从事环境影响评价工作资质的单</w:t>
      </w:r>
      <w:r>
        <w:rPr>
          <w:sz w:val="30"/>
        </w:rPr>
        <w:t>位编制。</w:t>
      </w:r>
    </w:p>
    <w:p>
      <w:pPr>
        <w:spacing w:line="412" w:lineRule="auto" w:before="0"/>
        <w:ind w:left="227" w:right="250" w:firstLine="600"/>
        <w:jc w:val="left"/>
        <w:rPr>
          <w:sz w:val="30"/>
        </w:rPr>
      </w:pPr>
      <w:r>
        <w:rPr>
          <w:rFonts w:ascii="Times New Roman" w:eastAsia="Times New Roman"/>
          <w:sz w:val="30"/>
        </w:rPr>
        <w:t>1</w:t>
      </w:r>
      <w:r>
        <w:rPr>
          <w:spacing w:val="-5"/>
          <w:sz w:val="30"/>
        </w:rPr>
        <w:t>、项目名称</w:t>
      </w:r>
      <w:r>
        <w:rPr>
          <w:rFonts w:ascii="Times New Roman" w:eastAsia="Times New Roman"/>
          <w:sz w:val="30"/>
        </w:rPr>
        <w:t>---</w:t>
      </w:r>
      <w:r>
        <w:rPr>
          <w:spacing w:val="-8"/>
          <w:sz w:val="30"/>
        </w:rPr>
        <w:t>指项目立项批复时的名称，应不超过 </w:t>
      </w:r>
      <w:r>
        <w:rPr>
          <w:rFonts w:ascii="Times New Roman" w:eastAsia="Times New Roman"/>
          <w:sz w:val="30"/>
        </w:rPr>
        <w:t>30 </w:t>
      </w:r>
      <w:r>
        <w:rPr>
          <w:spacing w:val="-12"/>
          <w:sz w:val="30"/>
        </w:rPr>
        <w:t>个字</w:t>
      </w:r>
      <w:r>
        <w:rPr>
          <w:sz w:val="30"/>
        </w:rPr>
        <w:t>（</w:t>
      </w:r>
      <w:r>
        <w:rPr>
          <w:spacing w:val="-5"/>
          <w:sz w:val="30"/>
        </w:rPr>
        <w:t>两个英</w:t>
      </w:r>
      <w:r>
        <w:rPr>
          <w:sz w:val="30"/>
        </w:rPr>
        <w:t>文字段作一个汉字</w:t>
      </w:r>
      <w:r>
        <w:rPr>
          <w:spacing w:val="-152"/>
          <w:sz w:val="30"/>
        </w:rPr>
        <w:t>）</w:t>
      </w:r>
      <w:r>
        <w:rPr>
          <w:sz w:val="30"/>
        </w:rPr>
        <w:t>。</w:t>
      </w:r>
    </w:p>
    <w:p>
      <w:pPr>
        <w:spacing w:line="382" w:lineRule="exact" w:before="0"/>
        <w:ind w:left="828" w:right="0" w:firstLine="0"/>
        <w:jc w:val="left"/>
        <w:rPr>
          <w:sz w:val="30"/>
        </w:rPr>
      </w:pPr>
      <w:r>
        <w:rPr>
          <w:rFonts w:ascii="Times New Roman" w:eastAsia="Times New Roman"/>
          <w:sz w:val="30"/>
        </w:rPr>
        <w:t>2</w:t>
      </w:r>
      <w:r>
        <w:rPr>
          <w:sz w:val="30"/>
        </w:rPr>
        <w:t>、建设地点</w:t>
      </w:r>
      <w:r>
        <w:rPr>
          <w:rFonts w:ascii="Times New Roman" w:eastAsia="Times New Roman"/>
          <w:sz w:val="30"/>
        </w:rPr>
        <w:t>---</w:t>
      </w:r>
      <w:r>
        <w:rPr>
          <w:sz w:val="30"/>
        </w:rPr>
        <w:t>指项目所在地详细地址，公路、铁路应填写起止地点。</w:t>
      </w:r>
    </w:p>
    <w:p>
      <w:pPr>
        <w:spacing w:before="274"/>
        <w:ind w:left="828" w:right="0" w:firstLine="0"/>
        <w:jc w:val="left"/>
        <w:rPr>
          <w:sz w:val="30"/>
        </w:rPr>
      </w:pPr>
      <w:r>
        <w:rPr>
          <w:rFonts w:ascii="Times New Roman" w:eastAsia="Times New Roman"/>
          <w:sz w:val="30"/>
        </w:rPr>
        <w:t>3</w:t>
      </w:r>
      <w:r>
        <w:rPr>
          <w:sz w:val="30"/>
        </w:rPr>
        <w:t>、行业类别</w:t>
      </w:r>
      <w:r>
        <w:rPr>
          <w:rFonts w:ascii="Times New Roman" w:eastAsia="Times New Roman"/>
          <w:sz w:val="30"/>
        </w:rPr>
        <w:t>---</w:t>
      </w:r>
      <w:r>
        <w:rPr>
          <w:sz w:val="30"/>
        </w:rPr>
        <w:t>按国标填写。</w:t>
      </w:r>
    </w:p>
    <w:p>
      <w:pPr>
        <w:spacing w:before="275"/>
        <w:ind w:left="828" w:right="0" w:firstLine="0"/>
        <w:jc w:val="left"/>
        <w:rPr>
          <w:sz w:val="30"/>
        </w:rPr>
      </w:pPr>
      <w:r>
        <w:rPr>
          <w:rFonts w:ascii="Times New Roman" w:eastAsia="Times New Roman"/>
          <w:sz w:val="30"/>
        </w:rPr>
        <w:t>4</w:t>
      </w:r>
      <w:r>
        <w:rPr>
          <w:sz w:val="30"/>
        </w:rPr>
        <w:t>、总投资</w:t>
      </w:r>
      <w:r>
        <w:rPr>
          <w:rFonts w:ascii="Times New Roman" w:eastAsia="Times New Roman"/>
          <w:sz w:val="30"/>
        </w:rPr>
        <w:t>---</w:t>
      </w:r>
      <w:r>
        <w:rPr>
          <w:sz w:val="30"/>
        </w:rPr>
        <w:t>指项目投资总额。</w:t>
      </w:r>
    </w:p>
    <w:p>
      <w:pPr>
        <w:spacing w:line="412" w:lineRule="auto" w:before="276"/>
        <w:ind w:left="227" w:right="251" w:firstLine="600"/>
        <w:jc w:val="both"/>
        <w:rPr>
          <w:sz w:val="30"/>
        </w:rPr>
      </w:pPr>
      <w:r>
        <w:rPr>
          <w:rFonts w:ascii="Times New Roman" w:eastAsia="Times New Roman"/>
          <w:sz w:val="30"/>
        </w:rPr>
        <w:t>5</w:t>
      </w:r>
      <w:r>
        <w:rPr>
          <w:sz w:val="30"/>
        </w:rPr>
        <w:t>、主要环境保护目标</w:t>
      </w:r>
      <w:r>
        <w:rPr>
          <w:rFonts w:ascii="Times New Roman" w:eastAsia="Times New Roman"/>
          <w:sz w:val="30"/>
        </w:rPr>
        <w:t>---</w:t>
      </w:r>
      <w:r>
        <w:rPr>
          <w:sz w:val="30"/>
        </w:rPr>
        <w:t>指项目区周围一定范围内集中居民住宅区、</w:t>
      </w:r>
      <w:r>
        <w:rPr>
          <w:spacing w:val="-10"/>
          <w:sz w:val="30"/>
        </w:rPr>
        <w:t>学校、医院、保护文物、风景名胜区、水源地和生态敏感点等，应尽可能</w:t>
      </w:r>
      <w:r>
        <w:rPr>
          <w:sz w:val="30"/>
        </w:rPr>
        <w:t>给出保护目标、性质、规模和距离等。</w:t>
      </w:r>
    </w:p>
    <w:p>
      <w:pPr>
        <w:spacing w:line="412" w:lineRule="auto" w:before="0"/>
        <w:ind w:left="227" w:right="249" w:firstLine="600"/>
        <w:jc w:val="both"/>
        <w:rPr>
          <w:sz w:val="30"/>
        </w:rPr>
      </w:pPr>
      <w:r>
        <w:rPr>
          <w:rFonts w:ascii="Times New Roman" w:eastAsia="Times New Roman"/>
          <w:sz w:val="30"/>
        </w:rPr>
        <w:t>6</w:t>
      </w:r>
      <w:r>
        <w:rPr>
          <w:sz w:val="30"/>
        </w:rPr>
        <w:t>、结论与建议</w:t>
      </w:r>
      <w:r>
        <w:rPr>
          <w:rFonts w:ascii="Times New Roman" w:eastAsia="Times New Roman"/>
          <w:sz w:val="30"/>
        </w:rPr>
        <w:t>---</w:t>
      </w:r>
      <w:r>
        <w:rPr>
          <w:sz w:val="30"/>
        </w:rPr>
        <w:t>给出本项目清洁生产、达标排放和总量控制的分析</w:t>
      </w:r>
      <w:r>
        <w:rPr>
          <w:spacing w:val="-9"/>
          <w:sz w:val="30"/>
        </w:rPr>
        <w:t>结论，确定污染防治措施的有效性，说明本项目对环境造成的影响，给出</w:t>
      </w:r>
      <w:r>
        <w:rPr>
          <w:sz w:val="30"/>
        </w:rPr>
        <w:t>建设项目环境可行性的明确结论。同时提出减少环境影响的其他建议。</w:t>
      </w:r>
    </w:p>
    <w:p>
      <w:pPr>
        <w:spacing w:line="412" w:lineRule="auto" w:before="0"/>
        <w:ind w:left="227" w:right="249" w:firstLine="600"/>
        <w:jc w:val="left"/>
        <w:rPr>
          <w:sz w:val="30"/>
        </w:rPr>
      </w:pPr>
      <w:r>
        <w:rPr>
          <w:rFonts w:ascii="Times New Roman" w:eastAsia="Times New Roman"/>
          <w:sz w:val="30"/>
        </w:rPr>
        <w:t>7</w:t>
      </w:r>
      <w:r>
        <w:rPr>
          <w:sz w:val="30"/>
        </w:rPr>
        <w:t>、预审意见</w:t>
      </w:r>
      <w:r>
        <w:rPr>
          <w:rFonts w:ascii="Times New Roman" w:eastAsia="Times New Roman"/>
          <w:sz w:val="30"/>
        </w:rPr>
        <w:t>---</w:t>
      </w:r>
      <w:r>
        <w:rPr>
          <w:sz w:val="30"/>
        </w:rPr>
        <w:t>由行业主管部门填写答复意见，无主管部门项目，可不填。</w:t>
      </w:r>
    </w:p>
    <w:p>
      <w:pPr>
        <w:spacing w:line="382" w:lineRule="exact" w:before="0"/>
        <w:ind w:left="828" w:right="0" w:firstLine="0"/>
        <w:jc w:val="left"/>
        <w:rPr>
          <w:sz w:val="30"/>
        </w:rPr>
      </w:pPr>
      <w:r>
        <w:rPr>
          <w:rFonts w:ascii="Times New Roman" w:eastAsia="Times New Roman"/>
          <w:sz w:val="30"/>
        </w:rPr>
        <w:t>8</w:t>
      </w:r>
      <w:r>
        <w:rPr>
          <w:sz w:val="30"/>
        </w:rPr>
        <w:t>、审批意见</w:t>
      </w:r>
      <w:r>
        <w:rPr>
          <w:rFonts w:ascii="Times New Roman" w:eastAsia="Times New Roman"/>
          <w:sz w:val="30"/>
        </w:rPr>
        <w:t>---</w:t>
      </w:r>
      <w:r>
        <w:rPr>
          <w:sz w:val="30"/>
        </w:rPr>
        <w:t>由负责审批该项目的环境保护行政主管部门批复。</w:t>
      </w:r>
    </w:p>
    <w:p>
      <w:pPr>
        <w:spacing w:after="0" w:line="382" w:lineRule="exact"/>
        <w:jc w:val="left"/>
        <w:rPr>
          <w:sz w:val="30"/>
        </w:rPr>
        <w:sectPr>
          <w:footerReference w:type="default" r:id="rId5"/>
          <w:pgSz w:w="11910" w:h="16840"/>
          <w:pgMar w:footer="770" w:header="0" w:top="1580" w:bottom="960" w:left="1020" w:right="880"/>
          <w:pgNumType w:start="1"/>
        </w:sectPr>
      </w:pPr>
    </w:p>
    <w:p>
      <w:pPr>
        <w:pStyle w:val="BodyText"/>
        <w:spacing w:before="4"/>
        <w:rPr>
          <w:rFonts w:ascii="Times New Roman"/>
          <w:sz w:val="17"/>
        </w:rPr>
      </w:pPr>
    </w:p>
    <w:p>
      <w:pPr>
        <w:spacing w:after="0"/>
        <w:rPr>
          <w:rFonts w:ascii="Times New Roman"/>
          <w:sz w:val="17"/>
        </w:rPr>
        <w:sectPr>
          <w:pgSz w:w="11910" w:h="16840"/>
          <w:pgMar w:header="0" w:footer="770" w:top="1580" w:bottom="960" w:left="1020" w:right="880"/>
        </w:sectPr>
      </w:pPr>
    </w:p>
    <w:p>
      <w:pPr>
        <w:tabs>
          <w:tab w:pos="559" w:val="left" w:leader="none"/>
        </w:tabs>
        <w:spacing w:before="40"/>
        <w:ind w:left="0" w:right="25" w:firstLine="0"/>
        <w:jc w:val="center"/>
        <w:rPr>
          <w:b/>
          <w:sz w:val="28"/>
        </w:rPr>
      </w:pPr>
      <w:r>
        <w:rPr>
          <w:b/>
          <w:sz w:val="28"/>
        </w:rPr>
        <w:t>目</w:t>
        <w:tab/>
        <w:t>录</w:t>
      </w:r>
    </w:p>
    <w:sdt>
      <w:sdtPr>
        <w:docPartObj>
          <w:docPartGallery w:val="Table of Contents"/>
          <w:docPartUnique/>
        </w:docPartObj>
      </w:sdtPr>
      <w:sdtEndPr/>
      <w:sdtContent>
        <w:p>
          <w:pPr>
            <w:pStyle w:val="TOC1"/>
            <w:numPr>
              <w:ilvl w:val="0"/>
              <w:numId w:val="1"/>
            </w:numPr>
            <w:tabs>
              <w:tab w:pos="384" w:val="left" w:leader="none"/>
              <w:tab w:pos="9752" w:val="right" w:leader="dot"/>
            </w:tabs>
            <w:spacing w:line="240" w:lineRule="auto" w:before="153" w:after="0"/>
            <w:ind w:left="384" w:right="0" w:hanging="157"/>
            <w:jc w:val="left"/>
            <w:rPr>
              <w:rFonts w:ascii="Times New Roman" w:eastAsia="Times New Roman"/>
            </w:rPr>
          </w:pPr>
          <w:hyperlink w:history="true" w:anchor="_bookmark0">
            <w:r>
              <w:rPr/>
              <w:t>建设项目基本情况</w:t>
              <w:tab/>
            </w:r>
            <w:r>
              <w:rPr>
                <w:rFonts w:ascii="Times New Roman" w:eastAsia="Times New Roman"/>
              </w:rPr>
              <w:t>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
            <w:r>
              <w:rPr/>
              <w:t>工程内容及规模</w:t>
              <w:tab/>
            </w:r>
            <w:r>
              <w:rPr>
                <w:rFonts w:ascii="Times New Roman" w:eastAsia="Times New Roman"/>
              </w:rPr>
              <w:t>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2">
            <w:r>
              <w:rPr/>
              <w:t>与本项目有关的原有污染情况及主要环境问题</w:t>
              <w:tab/>
            </w:r>
            <w:r>
              <w:rPr>
                <w:rFonts w:ascii="Times New Roman" w:eastAsia="Times New Roman"/>
              </w:rPr>
              <w:t>8</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3">
            <w:r>
              <w:rPr/>
              <w:t>建设项目所在地自然环境简况</w:t>
              <w:tab/>
            </w:r>
            <w:r>
              <w:rPr>
                <w:rFonts w:ascii="Times New Roman" w:eastAsia="Times New Roman"/>
              </w:rPr>
              <w:t>10</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4">
            <w:r>
              <w:rPr/>
              <w:t>环境质量状况</w:t>
              <w:tab/>
            </w:r>
            <w:r>
              <w:rPr>
                <w:rFonts w:ascii="Times New Roman" w:eastAsia="Times New Roman"/>
              </w:rPr>
              <w:t>12</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5">
            <w:r>
              <w:rPr/>
              <w:t>建设项目所在地区域环境质量现状及主要环境问题</w:t>
              <w:tab/>
            </w:r>
            <w:r>
              <w:rPr>
                <w:rFonts w:ascii="Times New Roman" w:eastAsia="Times New Roman"/>
              </w:rPr>
              <w:t>12</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6">
            <w:r>
              <w:rPr/>
              <w:t>主要环境保护目标</w:t>
              <w:tab/>
            </w:r>
            <w:r>
              <w:rPr>
                <w:rFonts w:ascii="Times New Roman" w:eastAsia="Times New Roman"/>
              </w:rPr>
              <w:t>13</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7">
            <w:r>
              <w:rPr/>
              <w:t>评价适用标准</w:t>
              <w:tab/>
            </w:r>
            <w:r>
              <w:rPr>
                <w:rFonts w:ascii="Times New Roman" w:eastAsia="Times New Roman"/>
              </w:rPr>
              <w:t>14</w:t>
            </w:r>
          </w:hyperlink>
        </w:p>
        <w:p>
          <w:pPr>
            <w:pStyle w:val="TOC1"/>
            <w:numPr>
              <w:ilvl w:val="0"/>
              <w:numId w:val="1"/>
            </w:numPr>
            <w:tabs>
              <w:tab w:pos="384" w:val="left" w:leader="none"/>
              <w:tab w:pos="9752" w:val="right" w:leader="dot"/>
            </w:tabs>
            <w:spacing w:line="240" w:lineRule="auto" w:before="42" w:after="0"/>
            <w:ind w:left="384" w:right="0" w:hanging="157"/>
            <w:jc w:val="left"/>
            <w:rPr>
              <w:rFonts w:ascii="Times New Roman" w:eastAsia="Times New Roman"/>
            </w:rPr>
          </w:pPr>
          <w:hyperlink w:history="true" w:anchor="_bookmark8">
            <w:r>
              <w:rPr/>
              <w:t>建设项目工程分析</w:t>
              <w:tab/>
            </w:r>
            <w:r>
              <w:rPr>
                <w:rFonts w:ascii="Times New Roman" w:eastAsia="Times New Roman"/>
              </w:rPr>
              <w:t>16</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9">
            <w:r>
              <w:rPr/>
              <w:t>工艺流程简述（图示）</w:t>
              <w:tab/>
            </w:r>
            <w:r>
              <w:rPr>
                <w:rFonts w:ascii="Times New Roman" w:eastAsia="Times New Roman"/>
              </w:rPr>
              <w:t>16</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0">
            <w:r>
              <w:rPr/>
              <w:t>主要污染工序</w:t>
              <w:tab/>
            </w:r>
            <w:r>
              <w:rPr>
                <w:rFonts w:ascii="Times New Roman" w:eastAsia="Times New Roman"/>
              </w:rPr>
              <w:t>16</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1">
            <w:r>
              <w:rPr/>
              <w:t>主要污染物产生及预计排放情况</w:t>
              <w:tab/>
            </w:r>
            <w:r>
              <w:rPr>
                <w:rFonts w:ascii="Times New Roman" w:eastAsia="Times New Roman"/>
              </w:rPr>
              <w:t>19</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2">
            <w:r>
              <w:rPr/>
              <w:t>环境影响分析</w:t>
              <w:tab/>
            </w:r>
            <w:r>
              <w:rPr>
                <w:rFonts w:ascii="Times New Roman" w:eastAsia="Times New Roman"/>
              </w:rPr>
              <w:t>21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3">
            <w:r>
              <w:rPr/>
              <w:t>施工期环境影响分析及防治措施</w:t>
              <w:tab/>
            </w:r>
            <w:r>
              <w:rPr>
                <w:rFonts w:ascii="Times New Roman" w:eastAsia="Times New Roman"/>
              </w:rPr>
              <w:t>21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4">
            <w:r>
              <w:rPr/>
              <w:t>运营期环境影响分析及环保措施</w:t>
              <w:tab/>
            </w:r>
            <w:r>
              <w:rPr>
                <w:rFonts w:ascii="Times New Roman" w:eastAsia="Times New Roman"/>
              </w:rPr>
              <w:t>21</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5">
            <w:r>
              <w:rPr/>
              <w:t>拟采取的防治措施及预期治理效果</w:t>
              <w:tab/>
            </w:r>
            <w:r>
              <w:rPr>
                <w:rFonts w:ascii="Times New Roman" w:eastAsia="Times New Roman"/>
              </w:rPr>
              <w:t>29</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6">
            <w:r>
              <w:rPr/>
              <w:t>结论与建议</w:t>
              <w:tab/>
            </w:r>
            <w:r>
              <w:rPr>
                <w:rFonts w:ascii="Times New Roman" w:eastAsia="Times New Roman"/>
              </w:rPr>
              <w:t>30</w:t>
            </w:r>
          </w:hyperlink>
        </w:p>
      </w:sdtContent>
    </w:sdt>
    <w:p>
      <w:pPr>
        <w:pStyle w:val="BodyText"/>
        <w:spacing w:before="10"/>
        <w:rPr>
          <w:rFonts w:ascii="Times New Roman"/>
          <w:sz w:val="30"/>
        </w:rPr>
      </w:pPr>
    </w:p>
    <w:p>
      <w:pPr>
        <w:spacing w:before="0"/>
        <w:ind w:left="227" w:right="0" w:firstLine="0"/>
        <w:jc w:val="left"/>
        <w:rPr>
          <w:b/>
          <w:sz w:val="21"/>
        </w:rPr>
      </w:pPr>
      <w:r>
        <w:rPr>
          <w:b/>
          <w:sz w:val="21"/>
        </w:rPr>
        <w:t>附图：</w:t>
      </w:r>
    </w:p>
    <w:p>
      <w:pPr>
        <w:spacing w:before="43"/>
        <w:ind w:left="436" w:right="0" w:firstLine="0"/>
        <w:jc w:val="left"/>
        <w:rPr>
          <w:sz w:val="21"/>
        </w:rPr>
      </w:pPr>
      <w:r>
        <w:rPr>
          <w:rFonts w:ascii="Times New Roman" w:eastAsia="Times New Roman"/>
          <w:spacing w:val="1"/>
          <w:w w:val="99"/>
          <w:sz w:val="21"/>
        </w:rPr>
        <w:t>1</w:t>
      </w:r>
      <w:r>
        <w:rPr>
          <w:spacing w:val="-1"/>
          <w:w w:val="99"/>
          <w:sz w:val="21"/>
        </w:rPr>
        <w:t>、项目地理位置图（</w:t>
      </w:r>
      <w:r>
        <w:rPr>
          <w:w w:val="99"/>
          <w:sz w:val="21"/>
        </w:rPr>
        <w:t>见附图</w:t>
      </w:r>
      <w:r>
        <w:rPr>
          <w:spacing w:val="-53"/>
          <w:sz w:val="21"/>
        </w:rPr>
        <w:t> </w:t>
      </w:r>
      <w:r>
        <w:rPr>
          <w:rFonts w:ascii="Times New Roman" w:eastAsia="Times New Roman"/>
          <w:spacing w:val="1"/>
          <w:w w:val="99"/>
          <w:sz w:val="21"/>
        </w:rPr>
        <w:t>1</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2</w:t>
      </w:r>
      <w:r>
        <w:rPr>
          <w:spacing w:val="-1"/>
          <w:w w:val="99"/>
          <w:sz w:val="21"/>
        </w:rPr>
        <w:t>、项目地质地形图（</w:t>
      </w:r>
      <w:r>
        <w:rPr>
          <w:w w:val="99"/>
          <w:sz w:val="21"/>
        </w:rPr>
        <w:t>见附图</w:t>
      </w:r>
      <w:r>
        <w:rPr>
          <w:spacing w:val="-53"/>
          <w:sz w:val="21"/>
        </w:rPr>
        <w:t> </w:t>
      </w:r>
      <w:r>
        <w:rPr>
          <w:rFonts w:ascii="Times New Roman" w:eastAsia="Times New Roman"/>
          <w:spacing w:val="1"/>
          <w:w w:val="99"/>
          <w:sz w:val="21"/>
        </w:rPr>
        <w:t>2</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3</w:t>
      </w:r>
      <w:r>
        <w:rPr>
          <w:spacing w:val="-1"/>
          <w:w w:val="99"/>
          <w:sz w:val="21"/>
        </w:rPr>
        <w:t>、矿山平面布置图（</w:t>
      </w:r>
      <w:r>
        <w:rPr>
          <w:w w:val="99"/>
          <w:sz w:val="21"/>
        </w:rPr>
        <w:t>见附图</w:t>
      </w:r>
      <w:r>
        <w:rPr>
          <w:spacing w:val="-53"/>
          <w:sz w:val="21"/>
        </w:rPr>
        <w:t> </w:t>
      </w:r>
      <w:r>
        <w:rPr>
          <w:rFonts w:ascii="Times New Roman" w:eastAsia="Times New Roman"/>
          <w:spacing w:val="1"/>
          <w:w w:val="99"/>
          <w:sz w:val="21"/>
        </w:rPr>
        <w:t>3</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4</w:t>
      </w:r>
      <w:r>
        <w:rPr>
          <w:spacing w:val="-1"/>
          <w:w w:val="99"/>
          <w:sz w:val="21"/>
        </w:rPr>
        <w:t>、敏感点分布图</w:t>
      </w:r>
      <w:r>
        <w:rPr>
          <w:spacing w:val="2"/>
          <w:w w:val="99"/>
          <w:sz w:val="21"/>
        </w:rPr>
        <w:t>（</w:t>
      </w:r>
      <w:r>
        <w:rPr>
          <w:w w:val="99"/>
          <w:sz w:val="21"/>
        </w:rPr>
        <w:t>见附图</w:t>
      </w:r>
      <w:r>
        <w:rPr>
          <w:spacing w:val="-53"/>
          <w:sz w:val="21"/>
        </w:rPr>
        <w:t> </w:t>
      </w:r>
      <w:r>
        <w:rPr>
          <w:rFonts w:ascii="Times New Roman" w:eastAsia="Times New Roman"/>
          <w:spacing w:val="1"/>
          <w:w w:val="99"/>
          <w:sz w:val="21"/>
        </w:rPr>
        <w:t>4</w:t>
      </w:r>
      <w:r>
        <w:rPr>
          <w:spacing w:val="-106"/>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5</w:t>
      </w:r>
      <w:r>
        <w:rPr>
          <w:spacing w:val="-1"/>
          <w:w w:val="99"/>
          <w:sz w:val="21"/>
        </w:rPr>
        <w:t>、项目场地现状照片</w:t>
      </w:r>
      <w:r>
        <w:rPr>
          <w:spacing w:val="2"/>
          <w:w w:val="99"/>
          <w:sz w:val="21"/>
        </w:rPr>
        <w:t>（</w:t>
      </w:r>
      <w:r>
        <w:rPr>
          <w:w w:val="99"/>
          <w:sz w:val="21"/>
        </w:rPr>
        <w:t>见附图</w:t>
      </w:r>
      <w:r>
        <w:rPr>
          <w:spacing w:val="-53"/>
          <w:sz w:val="21"/>
        </w:rPr>
        <w:t> </w:t>
      </w:r>
      <w:r>
        <w:rPr>
          <w:rFonts w:ascii="Times New Roman" w:eastAsia="Times New Roman"/>
          <w:spacing w:val="1"/>
          <w:w w:val="99"/>
          <w:sz w:val="21"/>
        </w:rPr>
        <w:t>5</w:t>
      </w:r>
      <w:r>
        <w:rPr>
          <w:spacing w:val="-106"/>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6</w:t>
      </w:r>
      <w:r>
        <w:rPr>
          <w:spacing w:val="-1"/>
          <w:w w:val="99"/>
          <w:sz w:val="21"/>
        </w:rPr>
        <w:t>、项目地水系图</w:t>
      </w:r>
      <w:r>
        <w:rPr>
          <w:spacing w:val="2"/>
          <w:w w:val="99"/>
          <w:sz w:val="21"/>
        </w:rPr>
        <w:t>（</w:t>
      </w:r>
      <w:r>
        <w:rPr>
          <w:w w:val="99"/>
          <w:sz w:val="21"/>
        </w:rPr>
        <w:t>见附图</w:t>
      </w:r>
      <w:r>
        <w:rPr>
          <w:spacing w:val="-53"/>
          <w:sz w:val="21"/>
        </w:rPr>
        <w:t> </w:t>
      </w:r>
      <w:r>
        <w:rPr>
          <w:rFonts w:ascii="Times New Roman" w:eastAsia="Times New Roman"/>
          <w:spacing w:val="1"/>
          <w:w w:val="99"/>
          <w:sz w:val="21"/>
        </w:rPr>
        <w:t>6</w:t>
      </w:r>
      <w:r>
        <w:rPr>
          <w:spacing w:val="-106"/>
          <w:w w:val="99"/>
          <w:sz w:val="21"/>
        </w:rPr>
        <w:t>）</w:t>
      </w:r>
      <w:r>
        <w:rPr>
          <w:w w:val="99"/>
          <w:sz w:val="21"/>
        </w:rPr>
        <w:t>；</w:t>
      </w:r>
    </w:p>
    <w:p>
      <w:pPr>
        <w:spacing w:before="42"/>
        <w:ind w:left="436" w:right="0" w:firstLine="0"/>
        <w:jc w:val="left"/>
        <w:rPr>
          <w:sz w:val="21"/>
        </w:rPr>
      </w:pPr>
      <w:r>
        <w:rPr>
          <w:rFonts w:ascii="Times New Roman" w:eastAsia="Times New Roman"/>
          <w:spacing w:val="1"/>
          <w:w w:val="99"/>
          <w:sz w:val="21"/>
        </w:rPr>
        <w:t>7</w:t>
      </w:r>
      <w:r>
        <w:rPr>
          <w:spacing w:val="-1"/>
          <w:w w:val="99"/>
          <w:sz w:val="21"/>
        </w:rPr>
        <w:t>、项目监测点位图（</w:t>
      </w:r>
      <w:r>
        <w:rPr>
          <w:w w:val="99"/>
          <w:sz w:val="21"/>
        </w:rPr>
        <w:t>见附图</w:t>
      </w:r>
      <w:r>
        <w:rPr>
          <w:spacing w:val="-53"/>
          <w:sz w:val="21"/>
        </w:rPr>
        <w:t> </w:t>
      </w:r>
      <w:r>
        <w:rPr>
          <w:rFonts w:ascii="Times New Roman" w:eastAsia="Times New Roman"/>
          <w:spacing w:val="1"/>
          <w:w w:val="99"/>
          <w:sz w:val="21"/>
        </w:rPr>
        <w:t>7</w:t>
      </w:r>
      <w:r>
        <w:rPr>
          <w:spacing w:val="-104"/>
          <w:w w:val="99"/>
          <w:sz w:val="21"/>
        </w:rPr>
        <w:t>）</w:t>
      </w:r>
      <w:r>
        <w:rPr>
          <w:w w:val="99"/>
          <w:sz w:val="21"/>
        </w:rPr>
        <w:t>。</w:t>
      </w:r>
    </w:p>
    <w:p>
      <w:pPr>
        <w:pStyle w:val="BodyText"/>
        <w:rPr>
          <w:sz w:val="22"/>
        </w:rPr>
      </w:pPr>
    </w:p>
    <w:p>
      <w:pPr>
        <w:pStyle w:val="BodyText"/>
        <w:spacing w:before="1"/>
        <w:rPr>
          <w:sz w:val="30"/>
        </w:rPr>
      </w:pPr>
    </w:p>
    <w:p>
      <w:pPr>
        <w:spacing w:before="0"/>
        <w:ind w:left="227" w:right="0" w:firstLine="0"/>
        <w:jc w:val="left"/>
        <w:rPr>
          <w:b/>
          <w:sz w:val="21"/>
        </w:rPr>
      </w:pPr>
      <w:r>
        <w:rPr>
          <w:b/>
          <w:sz w:val="21"/>
        </w:rPr>
        <w:t>附表：</w:t>
      </w:r>
    </w:p>
    <w:p>
      <w:pPr>
        <w:spacing w:before="43"/>
        <w:ind w:left="436" w:right="0" w:firstLine="0"/>
        <w:jc w:val="left"/>
        <w:rPr>
          <w:sz w:val="21"/>
        </w:rPr>
      </w:pPr>
      <w:r>
        <w:rPr>
          <w:sz w:val="21"/>
        </w:rPr>
        <w:t>建设项目环评审批基础信息表。</w:t>
      </w:r>
    </w:p>
    <w:p>
      <w:pPr>
        <w:pStyle w:val="BodyText"/>
        <w:spacing w:before="9"/>
        <w:rPr>
          <w:sz w:val="27"/>
        </w:rPr>
      </w:pPr>
    </w:p>
    <w:p>
      <w:pPr>
        <w:spacing w:before="0"/>
        <w:ind w:left="227" w:right="0" w:firstLine="0"/>
        <w:jc w:val="left"/>
        <w:rPr>
          <w:b/>
          <w:sz w:val="21"/>
        </w:rPr>
      </w:pPr>
      <w:r>
        <w:rPr>
          <w:b/>
          <w:sz w:val="21"/>
        </w:rPr>
        <w:t>附件：</w:t>
      </w:r>
    </w:p>
    <w:p>
      <w:pPr>
        <w:spacing w:before="69"/>
        <w:ind w:left="542" w:right="0" w:firstLine="0"/>
        <w:jc w:val="left"/>
        <w:rPr>
          <w:sz w:val="21"/>
        </w:rPr>
      </w:pPr>
      <w:r>
        <w:rPr>
          <w:rFonts w:ascii="Times New Roman" w:eastAsia="Times New Roman"/>
          <w:sz w:val="21"/>
        </w:rPr>
        <w:t>1</w:t>
      </w:r>
      <w:r>
        <w:rPr>
          <w:sz w:val="21"/>
        </w:rPr>
        <w:t>、安康市汉滨区鑫平新型建材有限公司《建设项目环评委托书》；</w:t>
      </w:r>
    </w:p>
    <w:p>
      <w:pPr>
        <w:spacing w:before="51"/>
        <w:ind w:left="542" w:right="0" w:firstLine="0"/>
        <w:jc w:val="left"/>
        <w:rPr>
          <w:sz w:val="21"/>
        </w:rPr>
      </w:pPr>
      <w:r>
        <w:rPr>
          <w:rFonts w:ascii="Times New Roman" w:eastAsia="Times New Roman"/>
          <w:sz w:val="21"/>
        </w:rPr>
        <w:t>2</w:t>
      </w:r>
      <w:r>
        <w:rPr>
          <w:sz w:val="21"/>
        </w:rPr>
        <w:t>、营业执照；</w:t>
      </w:r>
    </w:p>
    <w:p>
      <w:pPr>
        <w:spacing w:before="50"/>
        <w:ind w:left="542" w:right="0" w:firstLine="0"/>
        <w:jc w:val="left"/>
        <w:rPr>
          <w:sz w:val="21"/>
        </w:rPr>
      </w:pPr>
      <w:r>
        <w:rPr>
          <w:rFonts w:ascii="Times New Roman" w:eastAsia="Times New Roman"/>
          <w:sz w:val="21"/>
        </w:rPr>
        <w:t>3</w:t>
      </w:r>
      <w:r>
        <w:rPr>
          <w:sz w:val="21"/>
        </w:rPr>
        <w:t>、采矿权挂牌成交确认书；</w:t>
      </w:r>
    </w:p>
    <w:p>
      <w:pPr>
        <w:spacing w:line="285" w:lineRule="auto" w:before="52"/>
        <w:ind w:left="227" w:right="253" w:firstLine="314"/>
        <w:jc w:val="left"/>
        <w:rPr>
          <w:sz w:val="21"/>
        </w:rPr>
      </w:pPr>
      <w:r>
        <w:rPr>
          <w:rFonts w:ascii="Times New Roman" w:eastAsia="Times New Roman"/>
          <w:w w:val="95"/>
          <w:sz w:val="21"/>
        </w:rPr>
        <w:t>4</w:t>
      </w:r>
      <w:r>
        <w:rPr>
          <w:spacing w:val="-13"/>
          <w:w w:val="95"/>
          <w:sz w:val="21"/>
        </w:rPr>
        <w:t>、《安康市汉滨区鑫平新型建材有限公司金坑村沟南砖瓦用页岩矿资源储量核实报告》矿产资源储量   </w:t>
      </w:r>
      <w:r>
        <w:rPr>
          <w:spacing w:val="-13"/>
          <w:sz w:val="21"/>
        </w:rPr>
        <w:t>评审备案证明；</w:t>
      </w:r>
    </w:p>
    <w:p>
      <w:pPr>
        <w:spacing w:line="267" w:lineRule="exact" w:before="0"/>
        <w:ind w:left="542" w:right="0" w:firstLine="0"/>
        <w:jc w:val="left"/>
        <w:rPr>
          <w:sz w:val="21"/>
        </w:rPr>
      </w:pPr>
      <w:r>
        <w:rPr>
          <w:rFonts w:ascii="Times New Roman" w:eastAsia="Times New Roman"/>
          <w:sz w:val="21"/>
        </w:rPr>
        <w:t>5</w:t>
      </w:r>
      <w:r>
        <w:rPr>
          <w:spacing w:val="-16"/>
          <w:sz w:val="21"/>
        </w:rPr>
        <w:t>、《安康市汉滨区鑫平新型建材有限公司金坑村沟南砖瓦用页岩矿矿产资源开发利用方案》审查意见；</w:t>
      </w:r>
    </w:p>
    <w:p>
      <w:pPr>
        <w:spacing w:before="53"/>
        <w:ind w:left="542" w:right="0" w:firstLine="0"/>
        <w:jc w:val="left"/>
        <w:rPr>
          <w:sz w:val="21"/>
        </w:rPr>
      </w:pPr>
      <w:r>
        <w:rPr>
          <w:rFonts w:ascii="Times New Roman" w:eastAsia="Times New Roman"/>
          <w:sz w:val="21"/>
        </w:rPr>
        <w:t>6</w:t>
      </w:r>
      <w:r>
        <w:rPr>
          <w:sz w:val="21"/>
        </w:rPr>
        <w:t>、《环境质量监测报告》。</w:t>
      </w:r>
    </w:p>
    <w:p>
      <w:pPr>
        <w:spacing w:after="0"/>
        <w:jc w:val="left"/>
        <w:rPr>
          <w:sz w:val="21"/>
        </w:rPr>
        <w:sectPr>
          <w:footerReference w:type="default" r:id="rId6"/>
          <w:pgSz w:w="11910" w:h="16840"/>
          <w:pgMar w:footer="850" w:header="0" w:top="1320" w:bottom="1040" w:left="1020" w:right="880"/>
          <w:pgNumType w:start="3"/>
        </w:sectPr>
      </w:pPr>
    </w:p>
    <w:p>
      <w:pPr>
        <w:pStyle w:val="BodyText"/>
        <w:spacing w:before="4"/>
        <w:rPr>
          <w:rFonts w:ascii="Times New Roman"/>
          <w:sz w:val="17"/>
        </w:rPr>
      </w:pPr>
    </w:p>
    <w:p>
      <w:pPr>
        <w:spacing w:after="0"/>
        <w:rPr>
          <w:rFonts w:ascii="Times New Roman"/>
          <w:sz w:val="17"/>
        </w:rPr>
        <w:sectPr>
          <w:footerReference w:type="default" r:id="rId7"/>
          <w:pgSz w:w="11910" w:h="16840"/>
          <w:pgMar w:footer="770" w:header="0" w:top="1580" w:bottom="960" w:left="1020" w:right="880"/>
          <w:pgNumType w:start="4"/>
        </w:sectPr>
      </w:pPr>
    </w:p>
    <w:p>
      <w:pPr>
        <w:pStyle w:val="Heading1"/>
        <w:numPr>
          <w:ilvl w:val="0"/>
          <w:numId w:val="2"/>
        </w:numPr>
        <w:tabs>
          <w:tab w:pos="437" w:val="left" w:leader="none"/>
        </w:tabs>
        <w:spacing w:line="240" w:lineRule="auto" w:before="50" w:after="39"/>
        <w:ind w:left="436" w:right="0" w:hanging="210"/>
        <w:jc w:val="left"/>
      </w:pPr>
      <w:bookmarkStart w:name="1建设项目基本情况" w:id="1"/>
      <w:bookmarkEnd w:id="1"/>
      <w:r>
        <w:rPr/>
      </w:r>
      <w:bookmarkStart w:name="_bookmark0" w:id="2"/>
      <w:bookmarkEnd w:id="2"/>
      <w:r>
        <w:rPr/>
      </w:r>
      <w:bookmarkStart w:name="_bookmark0" w:id="3"/>
      <w:bookmarkEnd w:id="3"/>
      <w:r>
        <w:rPr>
          <w:spacing w:val="-3"/>
        </w:rPr>
        <w:t>建设项目基本情况</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5"/>
        <w:gridCol w:w="1453"/>
        <w:gridCol w:w="332"/>
        <w:gridCol w:w="399"/>
        <w:gridCol w:w="861"/>
        <w:gridCol w:w="1365"/>
        <w:gridCol w:w="789"/>
        <w:gridCol w:w="681"/>
        <w:gridCol w:w="210"/>
        <w:gridCol w:w="1470"/>
      </w:tblGrid>
      <w:tr>
        <w:trPr>
          <w:trHeight w:val="387" w:hRule="atLeast"/>
        </w:trPr>
        <w:tc>
          <w:tcPr>
            <w:tcW w:w="1995" w:type="dxa"/>
          </w:tcPr>
          <w:p>
            <w:pPr>
              <w:pStyle w:val="TableParagraph"/>
              <w:spacing w:before="45"/>
              <w:ind w:left="517"/>
              <w:rPr>
                <w:rFonts w:ascii="黑体" w:eastAsia="黑体" w:hint="eastAsia"/>
                <w:sz w:val="24"/>
              </w:rPr>
            </w:pPr>
            <w:r>
              <w:rPr>
                <w:rFonts w:ascii="黑体" w:eastAsia="黑体" w:hint="eastAsia"/>
                <w:sz w:val="24"/>
              </w:rPr>
              <w:t>项目名称</w:t>
            </w:r>
          </w:p>
        </w:tc>
        <w:tc>
          <w:tcPr>
            <w:tcW w:w="7560" w:type="dxa"/>
            <w:gridSpan w:val="9"/>
          </w:tcPr>
          <w:p>
            <w:pPr>
              <w:pStyle w:val="TableParagraph"/>
              <w:spacing w:before="45"/>
              <w:ind w:left="1980"/>
              <w:rPr>
                <w:sz w:val="24"/>
              </w:rPr>
            </w:pPr>
            <w:r>
              <w:rPr>
                <w:sz w:val="24"/>
              </w:rPr>
              <w:t>金坑村沟南砖瓦用页岩矿开采项目</w:t>
            </w:r>
          </w:p>
        </w:tc>
      </w:tr>
      <w:tr>
        <w:trPr>
          <w:trHeight w:val="386" w:hRule="atLeast"/>
        </w:trPr>
        <w:tc>
          <w:tcPr>
            <w:tcW w:w="1995" w:type="dxa"/>
          </w:tcPr>
          <w:p>
            <w:pPr>
              <w:pStyle w:val="TableParagraph"/>
              <w:spacing w:before="44"/>
              <w:ind w:left="517"/>
              <w:rPr>
                <w:rFonts w:ascii="黑体" w:eastAsia="黑体" w:hint="eastAsia"/>
                <w:sz w:val="24"/>
              </w:rPr>
            </w:pPr>
            <w:r>
              <w:rPr>
                <w:rFonts w:ascii="黑体" w:eastAsia="黑体" w:hint="eastAsia"/>
                <w:sz w:val="24"/>
              </w:rPr>
              <w:t>建设单位</w:t>
            </w:r>
          </w:p>
        </w:tc>
        <w:tc>
          <w:tcPr>
            <w:tcW w:w="7560" w:type="dxa"/>
            <w:gridSpan w:val="9"/>
          </w:tcPr>
          <w:p>
            <w:pPr>
              <w:pStyle w:val="TableParagraph"/>
              <w:spacing w:before="44"/>
              <w:ind w:left="1860"/>
              <w:rPr>
                <w:sz w:val="24"/>
              </w:rPr>
            </w:pPr>
            <w:r>
              <w:rPr>
                <w:sz w:val="24"/>
              </w:rPr>
              <w:t>安康市汉滨区鑫平新型建材有限公司</w:t>
            </w:r>
          </w:p>
        </w:tc>
      </w:tr>
      <w:tr>
        <w:trPr>
          <w:trHeight w:val="387" w:hRule="atLeast"/>
        </w:trPr>
        <w:tc>
          <w:tcPr>
            <w:tcW w:w="1995" w:type="dxa"/>
          </w:tcPr>
          <w:p>
            <w:pPr>
              <w:pStyle w:val="TableParagraph"/>
              <w:spacing w:before="43"/>
              <w:ind w:left="517"/>
              <w:rPr>
                <w:rFonts w:ascii="黑体" w:eastAsia="黑体" w:hint="eastAsia"/>
                <w:sz w:val="24"/>
              </w:rPr>
            </w:pPr>
            <w:r>
              <w:rPr>
                <w:rFonts w:ascii="黑体" w:eastAsia="黑体" w:hint="eastAsia"/>
                <w:sz w:val="24"/>
              </w:rPr>
              <w:t>法人代表</w:t>
            </w:r>
          </w:p>
        </w:tc>
        <w:tc>
          <w:tcPr>
            <w:tcW w:w="2184" w:type="dxa"/>
            <w:gridSpan w:val="3"/>
          </w:tcPr>
          <w:p>
            <w:pPr>
              <w:pStyle w:val="TableParagraph"/>
              <w:spacing w:before="43"/>
              <w:ind w:left="732"/>
              <w:rPr>
                <w:sz w:val="24"/>
              </w:rPr>
            </w:pPr>
            <w:r>
              <w:rPr>
                <w:sz w:val="24"/>
              </w:rPr>
              <w:t>胡永兵</w:t>
            </w:r>
          </w:p>
        </w:tc>
        <w:tc>
          <w:tcPr>
            <w:tcW w:w="2226" w:type="dxa"/>
            <w:gridSpan w:val="2"/>
          </w:tcPr>
          <w:p>
            <w:pPr>
              <w:pStyle w:val="TableParagraph"/>
              <w:spacing w:before="43"/>
              <w:ind w:left="631"/>
              <w:rPr>
                <w:rFonts w:ascii="黑体" w:eastAsia="黑体" w:hint="eastAsia"/>
                <w:sz w:val="24"/>
              </w:rPr>
            </w:pPr>
            <w:r>
              <w:rPr>
                <w:rFonts w:ascii="黑体" w:eastAsia="黑体" w:hint="eastAsia"/>
                <w:sz w:val="24"/>
              </w:rPr>
              <w:t>联 系 人</w:t>
            </w:r>
          </w:p>
        </w:tc>
        <w:tc>
          <w:tcPr>
            <w:tcW w:w="3150" w:type="dxa"/>
            <w:gridSpan w:val="4"/>
          </w:tcPr>
          <w:p>
            <w:pPr>
              <w:pStyle w:val="TableParagraph"/>
              <w:spacing w:before="43"/>
              <w:ind w:left="1313" w:right="1306"/>
              <w:jc w:val="center"/>
              <w:rPr>
                <w:sz w:val="24"/>
              </w:rPr>
            </w:pPr>
            <w:r>
              <w:rPr>
                <w:sz w:val="24"/>
              </w:rPr>
              <w:t>张平</w:t>
            </w:r>
          </w:p>
        </w:tc>
      </w:tr>
      <w:tr>
        <w:trPr>
          <w:trHeight w:val="387" w:hRule="atLeast"/>
        </w:trPr>
        <w:tc>
          <w:tcPr>
            <w:tcW w:w="1995" w:type="dxa"/>
          </w:tcPr>
          <w:p>
            <w:pPr>
              <w:pStyle w:val="TableParagraph"/>
              <w:spacing w:before="44"/>
              <w:ind w:left="517"/>
              <w:rPr>
                <w:rFonts w:ascii="黑体" w:eastAsia="黑体" w:hint="eastAsia"/>
                <w:sz w:val="24"/>
              </w:rPr>
            </w:pPr>
            <w:r>
              <w:rPr>
                <w:rFonts w:ascii="黑体" w:eastAsia="黑体" w:hint="eastAsia"/>
                <w:sz w:val="24"/>
              </w:rPr>
              <w:t>通讯地址</w:t>
            </w:r>
          </w:p>
        </w:tc>
        <w:tc>
          <w:tcPr>
            <w:tcW w:w="7560" w:type="dxa"/>
            <w:gridSpan w:val="9"/>
          </w:tcPr>
          <w:p>
            <w:pPr>
              <w:pStyle w:val="TableParagraph"/>
              <w:spacing w:before="44"/>
              <w:ind w:left="1980"/>
              <w:rPr>
                <w:sz w:val="24"/>
              </w:rPr>
            </w:pPr>
            <w:r>
              <w:rPr>
                <w:sz w:val="24"/>
              </w:rPr>
              <w:t>陕西省安康市汉滨区恒口镇金坑村</w:t>
            </w:r>
          </w:p>
        </w:tc>
      </w:tr>
      <w:tr>
        <w:trPr>
          <w:trHeight w:val="387" w:hRule="atLeast"/>
        </w:trPr>
        <w:tc>
          <w:tcPr>
            <w:tcW w:w="1995" w:type="dxa"/>
          </w:tcPr>
          <w:p>
            <w:pPr>
              <w:pStyle w:val="TableParagraph"/>
              <w:spacing w:before="43"/>
              <w:ind w:left="517"/>
              <w:rPr>
                <w:rFonts w:ascii="黑体" w:eastAsia="黑体" w:hint="eastAsia"/>
                <w:sz w:val="24"/>
              </w:rPr>
            </w:pPr>
            <w:r>
              <w:rPr>
                <w:rFonts w:ascii="黑体" w:eastAsia="黑体" w:hint="eastAsia"/>
                <w:sz w:val="24"/>
              </w:rPr>
              <w:t>联系电话</w:t>
            </w:r>
          </w:p>
        </w:tc>
        <w:tc>
          <w:tcPr>
            <w:tcW w:w="1785" w:type="dxa"/>
            <w:gridSpan w:val="2"/>
          </w:tcPr>
          <w:p>
            <w:pPr>
              <w:pStyle w:val="TableParagraph"/>
              <w:spacing w:before="40"/>
              <w:ind w:left="231"/>
              <w:rPr>
                <w:rFonts w:ascii="Times New Roman"/>
                <w:sz w:val="24"/>
              </w:rPr>
            </w:pPr>
            <w:r>
              <w:rPr>
                <w:rFonts w:ascii="Times New Roman"/>
                <w:sz w:val="24"/>
              </w:rPr>
              <w:t>13709155599</w:t>
            </w:r>
          </w:p>
        </w:tc>
        <w:tc>
          <w:tcPr>
            <w:tcW w:w="1260" w:type="dxa"/>
            <w:gridSpan w:val="2"/>
          </w:tcPr>
          <w:p>
            <w:pPr>
              <w:pStyle w:val="TableParagraph"/>
              <w:spacing w:before="43"/>
              <w:ind w:left="390"/>
              <w:rPr>
                <w:rFonts w:ascii="黑体" w:eastAsia="黑体" w:hint="eastAsia"/>
                <w:sz w:val="24"/>
              </w:rPr>
            </w:pPr>
            <w:r>
              <w:rPr>
                <w:rFonts w:ascii="黑体" w:eastAsia="黑体" w:hint="eastAsia"/>
                <w:sz w:val="24"/>
              </w:rPr>
              <w:t>传真</w:t>
            </w:r>
          </w:p>
        </w:tc>
        <w:tc>
          <w:tcPr>
            <w:tcW w:w="1365" w:type="dxa"/>
          </w:tcPr>
          <w:p>
            <w:pPr>
              <w:pStyle w:val="TableParagraph"/>
              <w:spacing w:before="59"/>
              <w:ind w:left="6"/>
              <w:jc w:val="center"/>
              <w:rPr>
                <w:rFonts w:ascii="Times New Roman" w:hAnsi="Times New Roman"/>
                <w:sz w:val="24"/>
              </w:rPr>
            </w:pPr>
            <w:r>
              <w:rPr>
                <w:rFonts w:ascii="Times New Roman" w:hAnsi="Times New Roman"/>
                <w:sz w:val="24"/>
              </w:rPr>
              <w:t>—</w:t>
            </w:r>
          </w:p>
        </w:tc>
        <w:tc>
          <w:tcPr>
            <w:tcW w:w="1470" w:type="dxa"/>
            <w:gridSpan w:val="2"/>
          </w:tcPr>
          <w:p>
            <w:pPr>
              <w:pStyle w:val="TableParagraph"/>
              <w:spacing w:before="43"/>
              <w:ind w:left="493"/>
              <w:rPr>
                <w:rFonts w:ascii="黑体" w:eastAsia="黑体" w:hint="eastAsia"/>
                <w:sz w:val="24"/>
              </w:rPr>
            </w:pPr>
            <w:r>
              <w:rPr>
                <w:rFonts w:ascii="黑体" w:eastAsia="黑体" w:hint="eastAsia"/>
                <w:sz w:val="24"/>
              </w:rPr>
              <w:t>邮编</w:t>
            </w:r>
          </w:p>
        </w:tc>
        <w:tc>
          <w:tcPr>
            <w:tcW w:w="1680" w:type="dxa"/>
            <w:gridSpan w:val="2"/>
          </w:tcPr>
          <w:p>
            <w:pPr>
              <w:pStyle w:val="TableParagraph"/>
              <w:spacing w:before="59"/>
              <w:ind w:left="480"/>
              <w:rPr>
                <w:rFonts w:ascii="Times New Roman"/>
                <w:sz w:val="24"/>
              </w:rPr>
            </w:pPr>
            <w:r>
              <w:rPr>
                <w:rFonts w:ascii="Times New Roman"/>
                <w:sz w:val="24"/>
              </w:rPr>
              <w:t>725021</w:t>
            </w:r>
          </w:p>
        </w:tc>
      </w:tr>
      <w:tr>
        <w:trPr>
          <w:trHeight w:val="387" w:hRule="atLeast"/>
        </w:trPr>
        <w:tc>
          <w:tcPr>
            <w:tcW w:w="1995" w:type="dxa"/>
          </w:tcPr>
          <w:p>
            <w:pPr>
              <w:pStyle w:val="TableParagraph"/>
              <w:spacing w:before="45"/>
              <w:ind w:left="517"/>
              <w:rPr>
                <w:rFonts w:ascii="黑体" w:eastAsia="黑体" w:hint="eastAsia"/>
                <w:sz w:val="24"/>
              </w:rPr>
            </w:pPr>
            <w:r>
              <w:rPr>
                <w:rFonts w:ascii="黑体" w:eastAsia="黑体" w:hint="eastAsia"/>
                <w:sz w:val="24"/>
              </w:rPr>
              <w:t>建设地点</w:t>
            </w:r>
          </w:p>
        </w:tc>
        <w:tc>
          <w:tcPr>
            <w:tcW w:w="7560" w:type="dxa"/>
            <w:gridSpan w:val="9"/>
          </w:tcPr>
          <w:p>
            <w:pPr>
              <w:pStyle w:val="TableParagraph"/>
              <w:spacing w:before="45"/>
              <w:ind w:left="1980"/>
              <w:rPr>
                <w:sz w:val="24"/>
              </w:rPr>
            </w:pPr>
            <w:r>
              <w:rPr>
                <w:sz w:val="24"/>
              </w:rPr>
              <w:t>陕西省安康市汉滨区恒口镇金坑村</w:t>
            </w:r>
          </w:p>
        </w:tc>
      </w:tr>
      <w:tr>
        <w:trPr>
          <w:trHeight w:val="386" w:hRule="atLeast"/>
        </w:trPr>
        <w:tc>
          <w:tcPr>
            <w:tcW w:w="1995" w:type="dxa"/>
          </w:tcPr>
          <w:p>
            <w:pPr>
              <w:pStyle w:val="TableParagraph"/>
              <w:spacing w:before="43"/>
              <w:ind w:left="277"/>
              <w:rPr>
                <w:rFonts w:ascii="黑体" w:eastAsia="黑体" w:hint="eastAsia"/>
                <w:sz w:val="24"/>
              </w:rPr>
            </w:pPr>
            <w:r>
              <w:rPr>
                <w:rFonts w:ascii="黑体" w:eastAsia="黑体" w:hint="eastAsia"/>
                <w:sz w:val="24"/>
              </w:rPr>
              <w:t>立项审批部门</w:t>
            </w:r>
          </w:p>
        </w:tc>
        <w:tc>
          <w:tcPr>
            <w:tcW w:w="3045" w:type="dxa"/>
            <w:gridSpan w:val="4"/>
          </w:tcPr>
          <w:p>
            <w:pPr>
              <w:pStyle w:val="TableParagraph"/>
              <w:spacing w:before="59"/>
              <w:ind w:left="9"/>
              <w:jc w:val="center"/>
              <w:rPr>
                <w:rFonts w:ascii="Times New Roman"/>
                <w:sz w:val="24"/>
              </w:rPr>
            </w:pPr>
            <w:r>
              <w:rPr>
                <w:rFonts w:ascii="Times New Roman"/>
                <w:sz w:val="24"/>
              </w:rPr>
              <w:t>/</w:t>
            </w:r>
          </w:p>
        </w:tc>
        <w:tc>
          <w:tcPr>
            <w:tcW w:w="1365" w:type="dxa"/>
          </w:tcPr>
          <w:p>
            <w:pPr>
              <w:pStyle w:val="TableParagraph"/>
              <w:spacing w:before="43"/>
              <w:ind w:left="180" w:right="174"/>
              <w:jc w:val="center"/>
              <w:rPr>
                <w:rFonts w:ascii="黑体" w:eastAsia="黑体" w:hint="eastAsia"/>
                <w:sz w:val="24"/>
              </w:rPr>
            </w:pPr>
            <w:r>
              <w:rPr>
                <w:rFonts w:ascii="黑体" w:eastAsia="黑体" w:hint="eastAsia"/>
                <w:sz w:val="24"/>
              </w:rPr>
              <w:t>批准文号</w:t>
            </w:r>
          </w:p>
        </w:tc>
        <w:tc>
          <w:tcPr>
            <w:tcW w:w="3150" w:type="dxa"/>
            <w:gridSpan w:val="4"/>
          </w:tcPr>
          <w:p>
            <w:pPr>
              <w:pStyle w:val="TableParagraph"/>
              <w:spacing w:before="59"/>
              <w:ind w:left="12"/>
              <w:jc w:val="center"/>
              <w:rPr>
                <w:rFonts w:ascii="Times New Roman"/>
                <w:sz w:val="24"/>
              </w:rPr>
            </w:pPr>
            <w:r>
              <w:rPr>
                <w:rFonts w:ascii="Times New Roman"/>
                <w:sz w:val="24"/>
              </w:rPr>
              <w:t>/</w:t>
            </w:r>
          </w:p>
        </w:tc>
      </w:tr>
      <w:tr>
        <w:trPr>
          <w:trHeight w:val="520" w:hRule="atLeast"/>
        </w:trPr>
        <w:tc>
          <w:tcPr>
            <w:tcW w:w="1995" w:type="dxa"/>
          </w:tcPr>
          <w:p>
            <w:pPr>
              <w:pStyle w:val="TableParagraph"/>
              <w:spacing w:before="129"/>
              <w:ind w:left="517"/>
              <w:rPr>
                <w:rFonts w:ascii="黑体" w:eastAsia="黑体" w:hint="eastAsia"/>
                <w:sz w:val="24"/>
              </w:rPr>
            </w:pPr>
            <w:r>
              <w:rPr>
                <w:rFonts w:ascii="黑体" w:eastAsia="黑体" w:hint="eastAsia"/>
                <w:sz w:val="24"/>
              </w:rPr>
              <w:t>建设性质</w:t>
            </w:r>
          </w:p>
        </w:tc>
        <w:tc>
          <w:tcPr>
            <w:tcW w:w="3045" w:type="dxa"/>
            <w:gridSpan w:val="4"/>
          </w:tcPr>
          <w:p>
            <w:pPr>
              <w:pStyle w:val="TableParagraph"/>
              <w:spacing w:before="129"/>
              <w:ind w:left="473"/>
              <w:rPr>
                <w:rFonts w:ascii="Times New Roman" w:hAnsi="Times New Roman" w:eastAsia="Times New Roman"/>
                <w:sz w:val="24"/>
              </w:rPr>
            </w:pPr>
            <w:r>
              <w:rPr>
                <w:sz w:val="24"/>
              </w:rPr>
              <w:t>新建</w:t>
            </w:r>
            <w:r>
              <w:rPr>
                <w:rFonts w:ascii="Times New Roman" w:hAnsi="Times New Roman" w:eastAsia="Times New Roman"/>
                <w:sz w:val="24"/>
              </w:rPr>
              <w:t>√</w:t>
            </w:r>
            <w:r>
              <w:rPr>
                <w:sz w:val="24"/>
              </w:rPr>
              <w:t>改扩建</w:t>
            </w:r>
            <w:r>
              <w:rPr>
                <w:rFonts w:ascii="Times New Roman" w:hAnsi="Times New Roman" w:eastAsia="Times New Roman"/>
                <w:sz w:val="24"/>
              </w:rPr>
              <w:t>□</w:t>
            </w:r>
            <w:r>
              <w:rPr>
                <w:sz w:val="24"/>
              </w:rPr>
              <w:t>技改</w:t>
            </w:r>
            <w:r>
              <w:rPr>
                <w:rFonts w:ascii="Times New Roman" w:hAnsi="Times New Roman" w:eastAsia="Times New Roman"/>
                <w:sz w:val="24"/>
              </w:rPr>
              <w:t>□</w:t>
            </w:r>
          </w:p>
        </w:tc>
        <w:tc>
          <w:tcPr>
            <w:tcW w:w="2154" w:type="dxa"/>
            <w:gridSpan w:val="2"/>
          </w:tcPr>
          <w:p>
            <w:pPr>
              <w:pStyle w:val="TableParagraph"/>
              <w:spacing w:before="98"/>
              <w:ind w:left="236"/>
              <w:rPr>
                <w:rFonts w:ascii="黑体" w:eastAsia="黑体" w:hint="eastAsia"/>
                <w:sz w:val="24"/>
              </w:rPr>
            </w:pPr>
            <w:r>
              <w:rPr>
                <w:rFonts w:ascii="黑体" w:eastAsia="黑体" w:hint="eastAsia"/>
                <w:sz w:val="24"/>
              </w:rPr>
              <w:t>行业类别及代码</w:t>
            </w:r>
          </w:p>
        </w:tc>
        <w:tc>
          <w:tcPr>
            <w:tcW w:w="2361" w:type="dxa"/>
            <w:gridSpan w:val="3"/>
          </w:tcPr>
          <w:p>
            <w:pPr>
              <w:pStyle w:val="TableParagraph"/>
              <w:spacing w:line="253" w:lineRule="exact"/>
              <w:ind w:left="198" w:right="192"/>
              <w:jc w:val="center"/>
              <w:rPr>
                <w:sz w:val="24"/>
              </w:rPr>
            </w:pPr>
            <w:r>
              <w:rPr>
                <w:sz w:val="24"/>
              </w:rPr>
              <w:t>粘土及其他土砂石</w:t>
            </w:r>
          </w:p>
          <w:p>
            <w:pPr>
              <w:pStyle w:val="TableParagraph"/>
              <w:spacing w:line="247" w:lineRule="exact"/>
              <w:ind w:left="198" w:right="192"/>
              <w:jc w:val="center"/>
              <w:rPr>
                <w:rFonts w:ascii="Times New Roman" w:eastAsia="Times New Roman"/>
                <w:sz w:val="24"/>
              </w:rPr>
            </w:pPr>
            <w:r>
              <w:rPr>
                <w:sz w:val="24"/>
              </w:rPr>
              <w:t>开采 </w:t>
            </w:r>
            <w:r>
              <w:rPr>
                <w:rFonts w:ascii="Times New Roman" w:eastAsia="Times New Roman"/>
                <w:sz w:val="24"/>
              </w:rPr>
              <w:t>B1019</w:t>
            </w:r>
          </w:p>
        </w:tc>
      </w:tr>
      <w:tr>
        <w:trPr>
          <w:trHeight w:val="360" w:hRule="atLeast"/>
        </w:trPr>
        <w:tc>
          <w:tcPr>
            <w:tcW w:w="1995" w:type="dxa"/>
          </w:tcPr>
          <w:p>
            <w:pPr>
              <w:pStyle w:val="TableParagraph"/>
              <w:spacing w:line="292" w:lineRule="exact" w:before="48"/>
              <w:ind w:left="109"/>
              <w:rPr>
                <w:rFonts w:ascii="黑体" w:eastAsia="黑体" w:hint="eastAsia"/>
                <w:sz w:val="24"/>
              </w:rPr>
            </w:pPr>
            <w:r>
              <w:rPr>
                <w:rFonts w:ascii="黑体" w:eastAsia="黑体" w:hint="eastAsia"/>
                <w:sz w:val="24"/>
              </w:rPr>
              <w:t>矿区面积（</w:t>
            </w:r>
            <w:r>
              <w:rPr>
                <w:rFonts w:ascii="Times New Roman" w:eastAsia="Times New Roman"/>
                <w:sz w:val="24"/>
              </w:rPr>
              <w:t>km</w:t>
            </w:r>
            <w:r>
              <w:rPr>
                <w:rFonts w:ascii="Times New Roman" w:eastAsia="Times New Roman"/>
                <w:position w:val="8"/>
                <w:sz w:val="15"/>
              </w:rPr>
              <w:t>2</w:t>
            </w:r>
            <w:r>
              <w:rPr>
                <w:rFonts w:ascii="黑体" w:eastAsia="黑体" w:hint="eastAsia"/>
                <w:sz w:val="24"/>
              </w:rPr>
              <w:t>）</w:t>
            </w:r>
          </w:p>
        </w:tc>
        <w:tc>
          <w:tcPr>
            <w:tcW w:w="3045" w:type="dxa"/>
            <w:gridSpan w:val="4"/>
          </w:tcPr>
          <w:p>
            <w:pPr>
              <w:pStyle w:val="TableParagraph"/>
              <w:spacing w:before="35"/>
              <w:ind w:left="1171" w:right="1164"/>
              <w:jc w:val="center"/>
              <w:rPr>
                <w:rFonts w:ascii="Times New Roman"/>
                <w:sz w:val="24"/>
              </w:rPr>
            </w:pPr>
            <w:r>
              <w:rPr>
                <w:rFonts w:ascii="Times New Roman"/>
                <w:sz w:val="24"/>
              </w:rPr>
              <w:t>0.0173</w:t>
            </w:r>
          </w:p>
        </w:tc>
        <w:tc>
          <w:tcPr>
            <w:tcW w:w="2154" w:type="dxa"/>
            <w:gridSpan w:val="2"/>
          </w:tcPr>
          <w:p>
            <w:pPr>
              <w:pStyle w:val="TableParagraph"/>
              <w:spacing w:line="292" w:lineRule="exact" w:before="48"/>
              <w:ind w:left="224"/>
              <w:rPr>
                <w:rFonts w:ascii="黑体" w:eastAsia="黑体" w:hint="eastAsia"/>
                <w:sz w:val="24"/>
              </w:rPr>
            </w:pPr>
            <w:r>
              <w:rPr>
                <w:rFonts w:ascii="黑体" w:eastAsia="黑体" w:hint="eastAsia"/>
                <w:sz w:val="24"/>
              </w:rPr>
              <w:t>绿化面积（</w:t>
            </w:r>
            <w:r>
              <w:rPr>
                <w:rFonts w:ascii="Times New Roman" w:eastAsia="Times New Roman"/>
                <w:sz w:val="24"/>
              </w:rPr>
              <w:t>m</w:t>
            </w:r>
            <w:r>
              <w:rPr>
                <w:rFonts w:ascii="Times New Roman" w:eastAsia="Times New Roman"/>
                <w:position w:val="8"/>
                <w:sz w:val="15"/>
              </w:rPr>
              <w:t>2</w:t>
            </w:r>
            <w:r>
              <w:rPr>
                <w:rFonts w:ascii="黑体" w:eastAsia="黑体" w:hint="eastAsia"/>
                <w:sz w:val="24"/>
              </w:rPr>
              <w:t>）</w:t>
            </w:r>
          </w:p>
        </w:tc>
        <w:tc>
          <w:tcPr>
            <w:tcW w:w="2361" w:type="dxa"/>
            <w:gridSpan w:val="3"/>
          </w:tcPr>
          <w:p>
            <w:pPr>
              <w:pStyle w:val="TableParagraph"/>
              <w:spacing w:before="64"/>
              <w:ind w:left="10"/>
              <w:jc w:val="center"/>
              <w:rPr>
                <w:rFonts w:ascii="Times New Roman"/>
                <w:sz w:val="24"/>
              </w:rPr>
            </w:pPr>
            <w:r>
              <w:rPr>
                <w:rFonts w:ascii="Times New Roman"/>
                <w:sz w:val="24"/>
              </w:rPr>
              <w:t>/</w:t>
            </w:r>
          </w:p>
        </w:tc>
      </w:tr>
      <w:tr>
        <w:trPr>
          <w:trHeight w:val="557" w:hRule="atLeast"/>
        </w:trPr>
        <w:tc>
          <w:tcPr>
            <w:tcW w:w="1995" w:type="dxa"/>
          </w:tcPr>
          <w:p>
            <w:pPr>
              <w:pStyle w:val="TableParagraph"/>
              <w:spacing w:before="129"/>
              <w:ind w:left="157"/>
              <w:rPr>
                <w:rFonts w:ascii="黑体" w:eastAsia="黑体" w:hint="eastAsia"/>
                <w:sz w:val="24"/>
              </w:rPr>
            </w:pPr>
            <w:r>
              <w:rPr>
                <w:rFonts w:ascii="黑体" w:eastAsia="黑体" w:hint="eastAsia"/>
                <w:sz w:val="24"/>
              </w:rPr>
              <w:t>总投资（万元）</w:t>
            </w:r>
          </w:p>
        </w:tc>
        <w:tc>
          <w:tcPr>
            <w:tcW w:w="1453" w:type="dxa"/>
          </w:tcPr>
          <w:p>
            <w:pPr>
              <w:pStyle w:val="TableParagraph"/>
              <w:spacing w:before="145"/>
              <w:ind w:left="525" w:right="517"/>
              <w:jc w:val="center"/>
              <w:rPr>
                <w:rFonts w:ascii="Times New Roman"/>
                <w:sz w:val="24"/>
              </w:rPr>
            </w:pPr>
            <w:r>
              <w:rPr>
                <w:rFonts w:ascii="Times New Roman"/>
                <w:sz w:val="24"/>
              </w:rPr>
              <w:t>140</w:t>
            </w:r>
          </w:p>
        </w:tc>
        <w:tc>
          <w:tcPr>
            <w:tcW w:w="1592" w:type="dxa"/>
            <w:gridSpan w:val="3"/>
          </w:tcPr>
          <w:p>
            <w:pPr>
              <w:pStyle w:val="TableParagraph"/>
              <w:spacing w:line="260" w:lineRule="exact" w:before="19"/>
              <w:ind w:left="357" w:right="152" w:hanging="195"/>
              <w:rPr>
                <w:rFonts w:ascii="Times New Roman" w:eastAsia="Times New Roman"/>
                <w:sz w:val="24"/>
              </w:rPr>
            </w:pPr>
            <w:r>
              <w:rPr>
                <w:rFonts w:ascii="黑体" w:eastAsia="黑体" w:hint="eastAsia"/>
                <w:sz w:val="24"/>
              </w:rPr>
              <w:t>其中</w:t>
            </w:r>
            <w:r>
              <w:rPr>
                <w:rFonts w:ascii="Times New Roman" w:eastAsia="Times New Roman"/>
                <w:sz w:val="24"/>
              </w:rPr>
              <w:t>:</w:t>
            </w:r>
            <w:r>
              <w:rPr>
                <w:rFonts w:ascii="黑体" w:eastAsia="黑体" w:hint="eastAsia"/>
                <w:sz w:val="24"/>
              </w:rPr>
              <w:t>环保投资</w:t>
            </w:r>
            <w:r>
              <w:rPr>
                <w:rFonts w:ascii="Times New Roman" w:eastAsia="Times New Roman"/>
                <w:sz w:val="24"/>
              </w:rPr>
              <w:t>(</w:t>
            </w:r>
            <w:r>
              <w:rPr>
                <w:rFonts w:ascii="黑体" w:eastAsia="黑体" w:hint="eastAsia"/>
                <w:sz w:val="24"/>
              </w:rPr>
              <w:t>万元</w:t>
            </w:r>
            <w:r>
              <w:rPr>
                <w:rFonts w:ascii="Times New Roman" w:eastAsia="Times New Roman"/>
                <w:sz w:val="24"/>
              </w:rPr>
              <w:t>)</w:t>
            </w:r>
          </w:p>
        </w:tc>
        <w:tc>
          <w:tcPr>
            <w:tcW w:w="1365" w:type="dxa"/>
          </w:tcPr>
          <w:p>
            <w:pPr>
              <w:pStyle w:val="TableParagraph"/>
              <w:spacing w:before="133"/>
              <w:ind w:left="180" w:right="172"/>
              <w:jc w:val="center"/>
              <w:rPr>
                <w:rFonts w:ascii="Times New Roman"/>
                <w:sz w:val="24"/>
              </w:rPr>
            </w:pPr>
            <w:r>
              <w:rPr>
                <w:rFonts w:ascii="Times New Roman"/>
                <w:sz w:val="24"/>
              </w:rPr>
              <w:t>77.2</w:t>
            </w:r>
          </w:p>
        </w:tc>
        <w:tc>
          <w:tcPr>
            <w:tcW w:w="1680" w:type="dxa"/>
            <w:gridSpan w:val="3"/>
          </w:tcPr>
          <w:p>
            <w:pPr>
              <w:pStyle w:val="TableParagraph"/>
              <w:spacing w:line="260" w:lineRule="exact" w:before="19"/>
              <w:ind w:left="239" w:right="228"/>
              <w:rPr>
                <w:rFonts w:ascii="黑体" w:eastAsia="黑体" w:hint="eastAsia"/>
                <w:sz w:val="24"/>
              </w:rPr>
            </w:pPr>
            <w:r>
              <w:rPr>
                <w:rFonts w:ascii="黑体" w:eastAsia="黑体" w:hint="eastAsia"/>
                <w:sz w:val="24"/>
              </w:rPr>
              <w:t>环保投资占总投资比例</w:t>
            </w:r>
          </w:p>
        </w:tc>
        <w:tc>
          <w:tcPr>
            <w:tcW w:w="1470" w:type="dxa"/>
          </w:tcPr>
          <w:p>
            <w:pPr>
              <w:pStyle w:val="TableParagraph"/>
              <w:spacing w:before="145"/>
              <w:ind w:left="49" w:right="38"/>
              <w:jc w:val="center"/>
              <w:rPr>
                <w:rFonts w:ascii="Times New Roman"/>
                <w:sz w:val="24"/>
              </w:rPr>
            </w:pPr>
            <w:r>
              <w:rPr>
                <w:rFonts w:ascii="Times New Roman"/>
                <w:sz w:val="24"/>
              </w:rPr>
              <w:t>55%</w:t>
            </w:r>
          </w:p>
        </w:tc>
      </w:tr>
      <w:tr>
        <w:trPr>
          <w:trHeight w:val="387" w:hRule="atLeast"/>
        </w:trPr>
        <w:tc>
          <w:tcPr>
            <w:tcW w:w="1995" w:type="dxa"/>
          </w:tcPr>
          <w:p>
            <w:pPr>
              <w:pStyle w:val="TableParagraph"/>
              <w:spacing w:before="49"/>
              <w:ind w:left="277"/>
              <w:rPr>
                <w:rFonts w:ascii="黑体" w:eastAsia="黑体" w:hint="eastAsia"/>
                <w:sz w:val="24"/>
              </w:rPr>
            </w:pPr>
            <w:r>
              <w:rPr>
                <w:rFonts w:ascii="黑体" w:eastAsia="黑体" w:hint="eastAsia"/>
                <w:sz w:val="24"/>
              </w:rPr>
              <w:t>建成投产日期</w:t>
            </w:r>
          </w:p>
        </w:tc>
        <w:tc>
          <w:tcPr>
            <w:tcW w:w="7560" w:type="dxa"/>
            <w:gridSpan w:val="9"/>
          </w:tcPr>
          <w:p>
            <w:pPr>
              <w:pStyle w:val="TableParagraph"/>
              <w:spacing w:before="49"/>
              <w:ind w:left="2700" w:right="3490"/>
              <w:jc w:val="center"/>
              <w:rPr>
                <w:sz w:val="24"/>
              </w:rPr>
            </w:pPr>
            <w:r>
              <w:rPr>
                <w:rFonts w:ascii="Times New Roman" w:eastAsia="Times New Roman"/>
                <w:sz w:val="24"/>
              </w:rPr>
              <w:t>2019 </w:t>
            </w:r>
            <w:r>
              <w:rPr>
                <w:sz w:val="24"/>
              </w:rPr>
              <w:t>年 </w:t>
            </w:r>
            <w:r>
              <w:rPr>
                <w:rFonts w:ascii="Times New Roman" w:eastAsia="Times New Roman"/>
                <w:sz w:val="24"/>
              </w:rPr>
              <w:t>7 </w:t>
            </w:r>
            <w:r>
              <w:rPr>
                <w:sz w:val="24"/>
              </w:rPr>
              <w:t>月</w:t>
            </w:r>
          </w:p>
        </w:tc>
      </w:tr>
      <w:tr>
        <w:trPr>
          <w:trHeight w:val="8778" w:hRule="atLeast"/>
        </w:trPr>
        <w:tc>
          <w:tcPr>
            <w:tcW w:w="9555" w:type="dxa"/>
            <w:gridSpan w:val="10"/>
          </w:tcPr>
          <w:p>
            <w:pPr>
              <w:pStyle w:val="TableParagraph"/>
              <w:numPr>
                <w:ilvl w:val="1"/>
                <w:numId w:val="3"/>
              </w:numPr>
              <w:tabs>
                <w:tab w:pos="467" w:val="left" w:leader="none"/>
              </w:tabs>
              <w:spacing w:line="240" w:lineRule="auto" w:before="166" w:after="0"/>
              <w:ind w:left="466" w:right="0" w:hanging="361"/>
              <w:jc w:val="both"/>
              <w:rPr>
                <w:b/>
                <w:sz w:val="24"/>
              </w:rPr>
            </w:pPr>
            <w:bookmarkStart w:name="1.1工程内容及规模" w:id="4"/>
            <w:bookmarkEnd w:id="4"/>
            <w:r>
              <w:rPr/>
            </w:r>
            <w:bookmarkStart w:name="_bookmark1" w:id="5"/>
            <w:bookmarkEnd w:id="5"/>
            <w:r>
              <w:rPr/>
            </w:r>
            <w:bookmarkStart w:name="_bookmark1" w:id="6"/>
            <w:bookmarkEnd w:id="6"/>
            <w:r>
              <w:rPr>
                <w:b/>
                <w:sz w:val="24"/>
              </w:rPr>
              <w:t>工程内容及规模</w:t>
            </w:r>
          </w:p>
          <w:p>
            <w:pPr>
              <w:pStyle w:val="TableParagraph"/>
              <w:numPr>
                <w:ilvl w:val="2"/>
                <w:numId w:val="3"/>
              </w:numPr>
              <w:tabs>
                <w:tab w:pos="1127" w:val="left" w:leader="none"/>
              </w:tabs>
              <w:spacing w:line="240" w:lineRule="auto" w:before="155" w:after="0"/>
              <w:ind w:left="1126" w:right="0" w:hanging="541"/>
              <w:jc w:val="left"/>
              <w:rPr>
                <w:b/>
                <w:sz w:val="24"/>
              </w:rPr>
            </w:pPr>
            <w:r>
              <w:rPr>
                <w:b/>
                <w:sz w:val="24"/>
              </w:rPr>
              <w:t>项目概况</w:t>
            </w:r>
          </w:p>
          <w:p>
            <w:pPr>
              <w:pStyle w:val="TableParagraph"/>
              <w:spacing w:before="154"/>
              <w:ind w:left="586"/>
              <w:rPr>
                <w:sz w:val="24"/>
              </w:rPr>
            </w:pPr>
            <w:r>
              <w:rPr>
                <w:rFonts w:ascii="Times New Roman" w:eastAsia="Times New Roman"/>
                <w:sz w:val="24"/>
              </w:rPr>
              <w:t>1</w:t>
            </w:r>
            <w:r>
              <w:rPr>
                <w:sz w:val="24"/>
              </w:rPr>
              <w:t>、项目由来</w:t>
            </w:r>
          </w:p>
          <w:p>
            <w:pPr>
              <w:pStyle w:val="TableParagraph"/>
              <w:spacing w:line="360" w:lineRule="auto" w:before="151"/>
              <w:ind w:left="106" w:right="95" w:firstLine="480"/>
              <w:jc w:val="both"/>
              <w:rPr>
                <w:sz w:val="24"/>
              </w:rPr>
            </w:pPr>
            <w:r>
              <w:rPr>
                <w:spacing w:val="-3"/>
                <w:sz w:val="24"/>
              </w:rPr>
              <w:t>烧结页岩砖作为一种新型建筑节能墙体材料，既可用于砌筑承重墙，又具有良好的热</w:t>
            </w:r>
            <w:r>
              <w:rPr>
                <w:spacing w:val="-6"/>
                <w:sz w:val="24"/>
              </w:rPr>
              <w:t>性能，减少了施工过程中的损耗，提高了工作效率。页岩是生产节能环保页岩砖的主要原料之一。页岩做建筑用砖，代替粘土作为制砖原料，可以少挖良田。页岩矿的开采对城市</w:t>
            </w:r>
            <w:r>
              <w:rPr>
                <w:spacing w:val="-3"/>
                <w:sz w:val="24"/>
              </w:rPr>
              <w:t>的建设和发展具有良好的推动作用，但是开采过程中存在一定的环境影响，因此页岩矿的开采与利用应与生态环境保护相统一，建立矿山环境保护与恢复治理的有效机制，发展绿</w:t>
            </w:r>
            <w:r>
              <w:rPr>
                <w:sz w:val="24"/>
              </w:rPr>
              <w:t>色矿业。</w:t>
            </w:r>
          </w:p>
          <w:p>
            <w:pPr>
              <w:pStyle w:val="TableParagraph"/>
              <w:spacing w:line="360" w:lineRule="auto"/>
              <w:ind w:left="106" w:right="95" w:firstLine="480"/>
              <w:jc w:val="both"/>
              <w:rPr>
                <w:sz w:val="24"/>
              </w:rPr>
            </w:pPr>
            <w:r>
              <w:rPr>
                <w:spacing w:val="-12"/>
                <w:sz w:val="24"/>
              </w:rPr>
              <w:t>为了摸清矿权范围内保有资源储量，促进资源合理开发与保护，安康市恒口示范区</w:t>
            </w:r>
            <w:r>
              <w:rPr>
                <w:sz w:val="24"/>
              </w:rPr>
              <w:t>（</w:t>
            </w:r>
            <w:r>
              <w:rPr>
                <w:spacing w:val="-16"/>
                <w:sz w:val="24"/>
              </w:rPr>
              <w:t>试</w:t>
            </w:r>
            <w:r>
              <w:rPr>
                <w:sz w:val="24"/>
              </w:rPr>
              <w:t>验区）</w:t>
            </w:r>
            <w:r>
              <w:rPr>
                <w:spacing w:val="-7"/>
                <w:sz w:val="24"/>
              </w:rPr>
              <w:t>国土资源局于 </w:t>
            </w:r>
            <w:r>
              <w:rPr>
                <w:rFonts w:ascii="Times New Roman" w:eastAsia="Times New Roman"/>
                <w:sz w:val="24"/>
              </w:rPr>
              <w:t>2018</w:t>
            </w:r>
            <w:r>
              <w:rPr>
                <w:rFonts w:ascii="Times New Roman" w:eastAsia="Times New Roman"/>
                <w:spacing w:val="19"/>
                <w:sz w:val="24"/>
              </w:rPr>
              <w:t> </w:t>
            </w:r>
            <w:r>
              <w:rPr>
                <w:spacing w:val="-22"/>
                <w:sz w:val="24"/>
              </w:rPr>
              <w:t>年 </w:t>
            </w:r>
            <w:r>
              <w:rPr>
                <w:rFonts w:ascii="Times New Roman" w:eastAsia="Times New Roman"/>
                <w:sz w:val="24"/>
              </w:rPr>
              <w:t>9</w:t>
            </w:r>
            <w:r>
              <w:rPr>
                <w:rFonts w:ascii="Times New Roman" w:eastAsia="Times New Roman"/>
                <w:spacing w:val="16"/>
                <w:sz w:val="24"/>
              </w:rPr>
              <w:t> </w:t>
            </w:r>
            <w:r>
              <w:rPr>
                <w:sz w:val="24"/>
              </w:rPr>
              <w:t>月委托陕西广鑫矿业开发有限公司对安康市汉滨区恒口镇</w:t>
            </w:r>
          </w:p>
          <w:p>
            <w:pPr>
              <w:pStyle w:val="TableParagraph"/>
              <w:spacing w:line="357" w:lineRule="auto"/>
              <w:ind w:left="106" w:right="-29"/>
              <w:jc w:val="both"/>
              <w:rPr>
                <w:sz w:val="24"/>
              </w:rPr>
            </w:pPr>
            <w:r>
              <w:rPr>
                <w:spacing w:val="-8"/>
                <w:sz w:val="24"/>
              </w:rPr>
              <w:t>金坑村一带的页岩矿进行资源储量核实工作，经核实该矿山开采范围由 </w:t>
            </w:r>
            <w:r>
              <w:rPr>
                <w:rFonts w:ascii="Times New Roman" w:eastAsia="Times New Roman"/>
                <w:sz w:val="24"/>
              </w:rPr>
              <w:t>5</w:t>
            </w:r>
            <w:r>
              <w:rPr>
                <w:rFonts w:ascii="Times New Roman" w:eastAsia="Times New Roman"/>
                <w:spacing w:val="-10"/>
                <w:sz w:val="24"/>
              </w:rPr>
              <w:t> </w:t>
            </w:r>
            <w:r>
              <w:rPr>
                <w:spacing w:val="-2"/>
                <w:sz w:val="24"/>
              </w:rPr>
              <w:t>个拐点坐标圈定， </w:t>
            </w:r>
            <w:r>
              <w:rPr>
                <w:spacing w:val="-9"/>
                <w:sz w:val="24"/>
              </w:rPr>
              <w:t>开采标高为 </w:t>
            </w:r>
            <w:r>
              <w:rPr>
                <w:rFonts w:ascii="Times New Roman" w:eastAsia="Times New Roman"/>
                <w:sz w:val="24"/>
              </w:rPr>
              <w:t>294-325</w:t>
            </w:r>
            <w:r>
              <w:rPr>
                <w:rFonts w:ascii="Times New Roman" w:eastAsia="Times New Roman"/>
                <w:spacing w:val="10"/>
                <w:sz w:val="24"/>
              </w:rPr>
              <w:t> </w:t>
            </w:r>
            <w:r>
              <w:rPr>
                <w:spacing w:val="-8"/>
                <w:sz w:val="24"/>
              </w:rPr>
              <w:t>米，矿区面积 </w:t>
            </w:r>
            <w:r>
              <w:rPr>
                <w:rFonts w:ascii="Times New Roman" w:eastAsia="Times New Roman"/>
                <w:sz w:val="24"/>
              </w:rPr>
              <w:t>0.0173km</w:t>
            </w:r>
            <w:r>
              <w:rPr>
                <w:rFonts w:ascii="Times New Roman" w:eastAsia="Times New Roman"/>
                <w:position w:val="8"/>
                <w:sz w:val="15"/>
              </w:rPr>
              <w:t>2</w:t>
            </w:r>
            <w:r>
              <w:rPr>
                <w:sz w:val="24"/>
              </w:rPr>
              <w:t>，开采矿种为砖瓦用页岩矿，保有资源量为</w:t>
            </w:r>
          </w:p>
          <w:p>
            <w:pPr>
              <w:pStyle w:val="TableParagraph"/>
              <w:spacing w:line="357" w:lineRule="auto"/>
              <w:ind w:left="106" w:right="95"/>
              <w:jc w:val="both"/>
              <w:rPr>
                <w:sz w:val="24"/>
              </w:rPr>
            </w:pPr>
            <w:r>
              <w:rPr>
                <w:rFonts w:ascii="Times New Roman" w:hAnsi="Times New Roman" w:eastAsia="Times New Roman"/>
                <w:sz w:val="24"/>
              </w:rPr>
              <w:t>15.54 </w:t>
            </w:r>
            <w:r>
              <w:rPr>
                <w:spacing w:val="-10"/>
                <w:sz w:val="24"/>
              </w:rPr>
              <w:t>万立方米</w:t>
            </w:r>
            <w:r>
              <w:rPr>
                <w:sz w:val="24"/>
              </w:rPr>
              <w:t>（</w:t>
            </w:r>
            <w:r>
              <w:rPr>
                <w:rFonts w:ascii="Times New Roman" w:hAnsi="Times New Roman" w:eastAsia="Times New Roman"/>
                <w:sz w:val="24"/>
              </w:rPr>
              <w:t>41.65 </w:t>
            </w:r>
            <w:r>
              <w:rPr>
                <w:sz w:val="24"/>
              </w:rPr>
              <w:t>万吨</w:t>
            </w:r>
            <w:r>
              <w:rPr>
                <w:spacing w:val="-120"/>
                <w:sz w:val="24"/>
              </w:rPr>
              <w:t>）</w:t>
            </w:r>
            <w:r>
              <w:rPr>
                <w:spacing w:val="-39"/>
                <w:sz w:val="24"/>
              </w:rPr>
              <w:t>。</w:t>
            </w:r>
            <w:r>
              <w:rPr>
                <w:rFonts w:ascii="Times New Roman" w:hAnsi="Times New Roman" w:eastAsia="Times New Roman"/>
                <w:sz w:val="24"/>
              </w:rPr>
              <w:t>2019 </w:t>
            </w:r>
            <w:r>
              <w:rPr>
                <w:spacing w:val="-30"/>
                <w:sz w:val="24"/>
              </w:rPr>
              <w:t>年 </w:t>
            </w:r>
            <w:r>
              <w:rPr>
                <w:rFonts w:ascii="Times New Roman" w:hAnsi="Times New Roman" w:eastAsia="Times New Roman"/>
                <w:sz w:val="24"/>
              </w:rPr>
              <w:t>5 </w:t>
            </w:r>
            <w:r>
              <w:rPr>
                <w:spacing w:val="-30"/>
                <w:sz w:val="24"/>
              </w:rPr>
              <w:t>月 </w:t>
            </w:r>
            <w:r>
              <w:rPr>
                <w:rFonts w:ascii="Times New Roman" w:hAnsi="Times New Roman" w:eastAsia="Times New Roman"/>
                <w:sz w:val="24"/>
              </w:rPr>
              <w:t>30 </w:t>
            </w:r>
            <w:r>
              <w:rPr>
                <w:spacing w:val="-1"/>
                <w:sz w:val="24"/>
              </w:rPr>
              <w:t>日安康市汉滨区鑫平新型建材有限公司通过</w:t>
            </w:r>
            <w:r>
              <w:rPr>
                <w:sz w:val="24"/>
              </w:rPr>
              <w:t>安康市恒口示范区（</w:t>
            </w:r>
            <w:r>
              <w:rPr>
                <w:spacing w:val="1"/>
                <w:sz w:val="24"/>
              </w:rPr>
              <w:t>试验区</w:t>
            </w:r>
            <w:r>
              <w:rPr>
                <w:sz w:val="24"/>
              </w:rPr>
              <w:t>）国土资源局挂牌出让取得了</w:t>
            </w:r>
            <w:r>
              <w:rPr>
                <w:rFonts w:ascii="Times New Roman" w:hAnsi="Times New Roman" w:eastAsia="Times New Roman"/>
                <w:spacing w:val="3"/>
                <w:sz w:val="24"/>
              </w:rPr>
              <w:t>“</w:t>
            </w:r>
            <w:r>
              <w:rPr>
                <w:sz w:val="24"/>
              </w:rPr>
              <w:t>安康市恒口示范区金坑村沟南砖瓦用页岩矿</w:t>
            </w:r>
            <w:r>
              <w:rPr>
                <w:rFonts w:ascii="Times New Roman" w:hAnsi="Times New Roman" w:eastAsia="Times New Roman"/>
                <w:sz w:val="24"/>
              </w:rPr>
              <w:t>”</w:t>
            </w:r>
            <w:r>
              <w:rPr>
                <w:sz w:val="24"/>
              </w:rPr>
              <w:t>采矿权。</w:t>
            </w:r>
          </w:p>
          <w:p>
            <w:pPr>
              <w:pStyle w:val="TableParagraph"/>
              <w:ind w:left="668"/>
              <w:jc w:val="both"/>
              <w:rPr>
                <w:sz w:val="24"/>
              </w:rPr>
            </w:pPr>
            <w:r>
              <w:rPr>
                <w:spacing w:val="-11"/>
                <w:sz w:val="24"/>
              </w:rPr>
              <w:t>根据调查，金坑村沟南砖瓦用页岩矿现已开采 </w:t>
            </w:r>
            <w:r>
              <w:rPr>
                <w:rFonts w:ascii="Times New Roman" w:eastAsia="Times New Roman"/>
                <w:sz w:val="24"/>
              </w:rPr>
              <w:t>3 </w:t>
            </w:r>
            <w:r>
              <w:rPr>
                <w:spacing w:val="-8"/>
                <w:sz w:val="24"/>
              </w:rPr>
              <w:t>年，为安康市汉滨区鑫平新型建材有</w:t>
            </w:r>
          </w:p>
          <w:p>
            <w:pPr>
              <w:pStyle w:val="TableParagraph"/>
              <w:spacing w:line="460" w:lineRule="atLeast"/>
              <w:ind w:left="106" w:right="-29"/>
              <w:jc w:val="both"/>
              <w:rPr>
                <w:sz w:val="24"/>
              </w:rPr>
            </w:pPr>
            <w:r>
              <w:rPr>
                <w:spacing w:val="-10"/>
                <w:sz w:val="24"/>
              </w:rPr>
              <w:t>限公司年产 </w:t>
            </w:r>
            <w:r>
              <w:rPr>
                <w:rFonts w:ascii="Times New Roman" w:hAnsi="Times New Roman" w:eastAsia="Times New Roman"/>
                <w:sz w:val="24"/>
              </w:rPr>
              <w:t>1</w:t>
            </w:r>
            <w:r>
              <w:rPr>
                <w:rFonts w:ascii="Times New Roman" w:hAnsi="Times New Roman" w:eastAsia="Times New Roman"/>
                <w:spacing w:val="1"/>
                <w:sz w:val="24"/>
              </w:rPr>
              <w:t> </w:t>
            </w:r>
            <w:r>
              <w:rPr>
                <w:spacing w:val="-4"/>
                <w:sz w:val="24"/>
              </w:rPr>
              <w:t>亿块页岩砖建设项目提供页岩原料，目前矿区范围北部存在一个长约 </w:t>
            </w:r>
            <w:r>
              <w:rPr>
                <w:rFonts w:ascii="Times New Roman" w:hAnsi="Times New Roman" w:eastAsia="Times New Roman"/>
                <w:spacing w:val="-3"/>
                <w:sz w:val="24"/>
              </w:rPr>
              <w:t>185m</w:t>
            </w:r>
            <w:r>
              <w:rPr>
                <w:spacing w:val="-3"/>
                <w:sz w:val="24"/>
              </w:rPr>
              <w:t>， </w:t>
            </w:r>
            <w:r>
              <w:rPr>
                <w:spacing w:val="-18"/>
                <w:sz w:val="24"/>
              </w:rPr>
              <w:t>宽约 </w:t>
            </w:r>
            <w:r>
              <w:rPr>
                <w:rFonts w:ascii="Times New Roman" w:hAnsi="Times New Roman" w:eastAsia="Times New Roman"/>
                <w:sz w:val="24"/>
              </w:rPr>
              <w:t>48m</w:t>
            </w:r>
            <w:r>
              <w:rPr>
                <w:spacing w:val="-13"/>
                <w:sz w:val="24"/>
              </w:rPr>
              <w:t>，高约 </w:t>
            </w:r>
            <w:r>
              <w:rPr>
                <w:rFonts w:ascii="Times New Roman" w:hAnsi="Times New Roman" w:eastAsia="Times New Roman"/>
                <w:sz w:val="24"/>
              </w:rPr>
              <w:t>22m</w:t>
            </w:r>
            <w:r>
              <w:rPr>
                <w:sz w:val="24"/>
              </w:rPr>
              <w:t>（</w:t>
            </w:r>
            <w:r>
              <w:rPr>
                <w:spacing w:val="-14"/>
                <w:sz w:val="24"/>
              </w:rPr>
              <w:t>坡度约 </w:t>
            </w:r>
            <w:r>
              <w:rPr>
                <w:rFonts w:ascii="Times New Roman" w:hAnsi="Times New Roman" w:eastAsia="Times New Roman"/>
                <w:sz w:val="24"/>
              </w:rPr>
              <w:t>85°</w:t>
            </w:r>
            <w:r>
              <w:rPr>
                <w:sz w:val="24"/>
              </w:rPr>
              <w:t>）的采坑，采矿区目前边坡处于稳定状态，没有出现崩</w:t>
            </w:r>
          </w:p>
        </w:tc>
      </w:tr>
    </w:tbl>
    <w:p>
      <w:pPr>
        <w:spacing w:after="0" w:line="460" w:lineRule="atLeast"/>
        <w:jc w:val="both"/>
        <w:rPr>
          <w:sz w:val="24"/>
        </w:rPr>
        <w:sectPr>
          <w:footerReference w:type="default" r:id="rId8"/>
          <w:pgSz w:w="11910" w:h="16840"/>
          <w:pgMar w:footer="770" w:header="0" w:top="1380" w:bottom="960" w:left="1020" w:right="880"/>
          <w:pgNumType w:start="1"/>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7339" w:hRule="atLeast"/>
        </w:trPr>
        <w:tc>
          <w:tcPr>
            <w:tcW w:w="9555" w:type="dxa"/>
            <w:gridSpan w:val="4"/>
            <w:tcBorders>
              <w:bottom w:val="single" w:sz="12" w:space="0" w:color="000000"/>
            </w:tcBorders>
          </w:tcPr>
          <w:p>
            <w:pPr>
              <w:pStyle w:val="TableParagraph"/>
              <w:spacing w:line="360" w:lineRule="auto" w:before="129"/>
              <w:ind w:left="106" w:right="56"/>
              <w:rPr>
                <w:sz w:val="24"/>
              </w:rPr>
            </w:pPr>
            <w:r>
              <w:rPr>
                <w:sz w:val="24"/>
              </w:rPr>
              <w:t>塌现象，前期开采尚未取得采矿许可证，矿山现状处于停产状态，正在办理采矿许可证工作。</w:t>
            </w:r>
          </w:p>
          <w:p>
            <w:pPr>
              <w:pStyle w:val="TableParagraph"/>
              <w:spacing w:line="360" w:lineRule="auto"/>
              <w:ind w:left="106" w:right="92" w:firstLine="480"/>
              <w:jc w:val="both"/>
              <w:rPr>
                <w:sz w:val="24"/>
              </w:rPr>
            </w:pPr>
            <w:r>
              <w:rPr>
                <w:spacing w:val="-4"/>
                <w:sz w:val="24"/>
              </w:rPr>
              <w:t>本项目为页岩矿开采项目，根据《建设项目环境影响评价分类管理名录》，本项目属于</w:t>
            </w:r>
            <w:r>
              <w:rPr>
                <w:rFonts w:ascii="Times New Roman" w:hAnsi="Times New Roman" w:eastAsia="Times New Roman"/>
                <w:spacing w:val="-4"/>
                <w:sz w:val="24"/>
              </w:rPr>
              <w:t>“</w:t>
            </w:r>
            <w:r>
              <w:rPr>
                <w:spacing w:val="-4"/>
                <w:sz w:val="24"/>
              </w:rPr>
              <w:t>四十五、非金属矿采选业</w:t>
            </w:r>
            <w:r>
              <w:rPr>
                <w:rFonts w:ascii="Times New Roman" w:hAnsi="Times New Roman" w:eastAsia="Times New Roman"/>
                <w:sz w:val="24"/>
              </w:rPr>
              <w:t>”</w:t>
            </w:r>
            <w:r>
              <w:rPr>
                <w:sz w:val="24"/>
              </w:rPr>
              <w:t>中</w:t>
            </w:r>
            <w:r>
              <w:rPr>
                <w:rFonts w:ascii="Times New Roman" w:hAnsi="Times New Roman" w:eastAsia="Times New Roman"/>
                <w:sz w:val="24"/>
              </w:rPr>
              <w:t>“137 </w:t>
            </w:r>
            <w:r>
              <w:rPr>
                <w:spacing w:val="-2"/>
                <w:sz w:val="24"/>
              </w:rPr>
              <w:t>土砂石、石材开采加工</w:t>
            </w:r>
            <w:r>
              <w:rPr>
                <w:rFonts w:ascii="Times New Roman" w:hAnsi="Times New Roman" w:eastAsia="Times New Roman"/>
                <w:sz w:val="24"/>
              </w:rPr>
              <w:t>”</w:t>
            </w:r>
            <w:r>
              <w:rPr>
                <w:sz w:val="24"/>
              </w:rPr>
              <w:t>项目，</w:t>
            </w:r>
            <w:r>
              <w:rPr>
                <w:rFonts w:ascii="Times New Roman" w:hAnsi="Times New Roman" w:eastAsia="Times New Roman"/>
                <w:sz w:val="24"/>
              </w:rPr>
              <w:t>“</w:t>
            </w:r>
            <w:r>
              <w:rPr>
                <w:spacing w:val="-2"/>
                <w:sz w:val="24"/>
              </w:rPr>
              <w:t>涉及敏感环境的编制</w:t>
            </w:r>
            <w:r>
              <w:rPr>
                <w:sz w:val="24"/>
              </w:rPr>
              <w:t>报告书，其他编制报告表</w:t>
            </w:r>
            <w:r>
              <w:rPr>
                <w:rFonts w:ascii="Times New Roman" w:hAnsi="Times New Roman" w:eastAsia="Times New Roman"/>
                <w:sz w:val="24"/>
              </w:rPr>
              <w:t>”</w:t>
            </w:r>
            <w:r>
              <w:rPr>
                <w:sz w:val="24"/>
              </w:rPr>
              <w:t>，本项目不涉及敏感环境，因此应编制报告表。安康市金和能</w:t>
            </w:r>
            <w:r>
              <w:rPr>
                <w:spacing w:val="-8"/>
                <w:sz w:val="24"/>
              </w:rPr>
              <w:t>建材有限公司于 </w:t>
            </w:r>
            <w:r>
              <w:rPr>
                <w:rFonts w:ascii="Times New Roman" w:hAnsi="Times New Roman" w:eastAsia="Times New Roman"/>
                <w:sz w:val="24"/>
              </w:rPr>
              <w:t>2019 </w:t>
            </w:r>
            <w:r>
              <w:rPr>
                <w:spacing w:val="-32"/>
                <w:sz w:val="24"/>
              </w:rPr>
              <w:t>年 </w:t>
            </w:r>
            <w:r>
              <w:rPr>
                <w:rFonts w:ascii="Times New Roman" w:hAnsi="Times New Roman" w:eastAsia="Times New Roman"/>
                <w:sz w:val="24"/>
              </w:rPr>
              <w:t>5 </w:t>
            </w:r>
            <w:r>
              <w:rPr>
                <w:spacing w:val="-32"/>
                <w:sz w:val="24"/>
              </w:rPr>
              <w:t>月 </w:t>
            </w:r>
            <w:r>
              <w:rPr>
                <w:rFonts w:ascii="Times New Roman" w:hAnsi="Times New Roman" w:eastAsia="Times New Roman"/>
                <w:sz w:val="24"/>
              </w:rPr>
              <w:t>30 </w:t>
            </w:r>
            <w:r>
              <w:rPr>
                <w:spacing w:val="-1"/>
                <w:sz w:val="24"/>
              </w:rPr>
              <w:t>日委托安康市环境工程设计有限公司承担该建设项目的环</w:t>
            </w:r>
            <w:r>
              <w:rPr>
                <w:spacing w:val="-4"/>
                <w:sz w:val="24"/>
              </w:rPr>
              <w:t>境影响评价工作，通过分析、预测和评估该项目实施可能造成的环境影响，提出预防或者</w:t>
            </w:r>
            <w:r>
              <w:rPr>
                <w:sz w:val="24"/>
              </w:rPr>
              <w:t>减轻不良环境影响的对策和措施，为环保部门项目审批提供决策依据。</w:t>
            </w:r>
          </w:p>
          <w:p>
            <w:pPr>
              <w:pStyle w:val="TableParagraph"/>
              <w:spacing w:line="300" w:lineRule="exact"/>
              <w:ind w:left="586"/>
              <w:rPr>
                <w:sz w:val="24"/>
              </w:rPr>
            </w:pPr>
            <w:r>
              <w:rPr>
                <w:rFonts w:ascii="Times New Roman" w:eastAsia="Times New Roman"/>
                <w:sz w:val="24"/>
              </w:rPr>
              <w:t>2</w:t>
            </w:r>
            <w:r>
              <w:rPr>
                <w:sz w:val="24"/>
              </w:rPr>
              <w:t>、分析判定相关情况</w:t>
            </w:r>
          </w:p>
          <w:p>
            <w:pPr>
              <w:pStyle w:val="TableParagraph"/>
              <w:numPr>
                <w:ilvl w:val="0"/>
                <w:numId w:val="4"/>
              </w:numPr>
              <w:tabs>
                <w:tab w:pos="1188" w:val="left" w:leader="none"/>
              </w:tabs>
              <w:spacing w:line="240" w:lineRule="auto" w:before="150" w:after="0"/>
              <w:ind w:left="1187" w:right="0" w:hanging="602"/>
              <w:jc w:val="left"/>
              <w:rPr>
                <w:sz w:val="24"/>
              </w:rPr>
            </w:pPr>
            <w:r>
              <w:rPr>
                <w:sz w:val="24"/>
              </w:rPr>
              <w:t>产业政策相符性</w:t>
            </w:r>
          </w:p>
          <w:p>
            <w:pPr>
              <w:pStyle w:val="TableParagraph"/>
              <w:spacing w:line="357" w:lineRule="auto" w:before="153"/>
              <w:ind w:left="106" w:right="92" w:firstLine="480"/>
              <w:jc w:val="both"/>
              <w:rPr>
                <w:sz w:val="24"/>
              </w:rPr>
            </w:pPr>
            <w:r>
              <w:rPr>
                <w:spacing w:val="-13"/>
                <w:sz w:val="24"/>
              </w:rPr>
              <w:t>该项目是页岩矿开采项目，不属于国家发改委第 </w:t>
            </w:r>
            <w:r>
              <w:rPr>
                <w:rFonts w:ascii="Times New Roman" w:eastAsia="Times New Roman"/>
                <w:sz w:val="24"/>
              </w:rPr>
              <w:t>21 </w:t>
            </w:r>
            <w:r>
              <w:rPr>
                <w:spacing w:val="-21"/>
                <w:sz w:val="24"/>
              </w:rPr>
              <w:t>号令《产业结构调整指导目录</w:t>
            </w:r>
            <w:r>
              <w:rPr>
                <w:spacing w:val="-5"/>
                <w:sz w:val="24"/>
              </w:rPr>
              <w:t>（</w:t>
            </w:r>
            <w:r>
              <w:rPr>
                <w:rFonts w:ascii="Times New Roman" w:eastAsia="Times New Roman"/>
                <w:spacing w:val="-5"/>
                <w:sz w:val="24"/>
              </w:rPr>
              <w:t>2011 </w:t>
            </w:r>
            <w:r>
              <w:rPr>
                <w:sz w:val="24"/>
              </w:rPr>
              <w:t>年本</w:t>
            </w:r>
            <w:r>
              <w:rPr>
                <w:spacing w:val="-120"/>
                <w:sz w:val="24"/>
              </w:rPr>
              <w:t>）</w:t>
            </w:r>
            <w:r>
              <w:rPr>
                <w:spacing w:val="-135"/>
                <w:sz w:val="24"/>
              </w:rPr>
              <w:t>》</w:t>
            </w:r>
            <w:r>
              <w:rPr>
                <w:sz w:val="24"/>
              </w:rPr>
              <w:t>（</w:t>
            </w:r>
            <w:r>
              <w:rPr>
                <w:rFonts w:ascii="Times New Roman" w:eastAsia="Times New Roman"/>
                <w:sz w:val="24"/>
              </w:rPr>
              <w:t>2013 </w:t>
            </w:r>
            <w:r>
              <w:rPr>
                <w:sz w:val="24"/>
              </w:rPr>
              <w:t>年修正</w:t>
            </w:r>
            <w:r>
              <w:rPr>
                <w:spacing w:val="-17"/>
                <w:sz w:val="24"/>
              </w:rPr>
              <w:t>）</w:t>
            </w:r>
            <w:r>
              <w:rPr>
                <w:spacing w:val="-7"/>
                <w:sz w:val="24"/>
              </w:rPr>
              <w:t>中鼓励类、限制类和淘汰类项目，为允许建设项目，项目符合国家</w:t>
            </w:r>
            <w:r>
              <w:rPr>
                <w:sz w:val="24"/>
              </w:rPr>
              <w:t>产业政策。</w:t>
            </w:r>
          </w:p>
          <w:p>
            <w:pPr>
              <w:pStyle w:val="TableParagraph"/>
              <w:numPr>
                <w:ilvl w:val="0"/>
                <w:numId w:val="4"/>
              </w:numPr>
              <w:tabs>
                <w:tab w:pos="1188" w:val="left" w:leader="none"/>
              </w:tabs>
              <w:spacing w:line="240" w:lineRule="auto" w:before="5" w:after="0"/>
              <w:ind w:left="1187" w:right="0" w:hanging="602"/>
              <w:jc w:val="left"/>
              <w:rPr>
                <w:sz w:val="24"/>
              </w:rPr>
            </w:pPr>
            <w:r>
              <w:rPr>
                <w:sz w:val="24"/>
              </w:rPr>
              <w:t>规划选址相符性</w:t>
            </w:r>
          </w:p>
          <w:p>
            <w:pPr>
              <w:pStyle w:val="TableParagraph"/>
              <w:spacing w:before="151"/>
              <w:ind w:left="586"/>
              <w:rPr>
                <w:sz w:val="24"/>
              </w:rPr>
            </w:pPr>
            <w:r>
              <w:rPr>
                <w:sz w:val="24"/>
              </w:rPr>
              <w:t>项目选址与相关规划及政策符合性分析对照情况见表 </w:t>
            </w:r>
            <w:r>
              <w:rPr>
                <w:rFonts w:ascii="Times New Roman" w:eastAsia="Times New Roman"/>
                <w:sz w:val="24"/>
              </w:rPr>
              <w:t>1.1</w:t>
            </w:r>
            <w:r>
              <w:rPr>
                <w:sz w:val="24"/>
              </w:rPr>
              <w:t>。</w:t>
            </w:r>
          </w:p>
          <w:p>
            <w:pPr>
              <w:pStyle w:val="TableParagraph"/>
              <w:tabs>
                <w:tab w:pos="4028" w:val="left" w:leader="none"/>
              </w:tabs>
              <w:spacing w:before="137"/>
              <w:ind w:left="3130"/>
              <w:rPr>
                <w:b/>
                <w:sz w:val="24"/>
              </w:rPr>
            </w:pPr>
            <w:r>
              <w:rPr>
                <w:b/>
                <w:sz w:val="24"/>
              </w:rPr>
              <w:t>表</w:t>
            </w:r>
            <w:r>
              <w:rPr>
                <w:b/>
                <w:spacing w:val="-46"/>
                <w:sz w:val="24"/>
              </w:rPr>
              <w:t> </w:t>
            </w:r>
            <w:r>
              <w:rPr>
                <w:rFonts w:ascii="Times New Roman" w:eastAsia="Times New Roman"/>
                <w:b/>
                <w:spacing w:val="2"/>
                <w:sz w:val="24"/>
              </w:rPr>
              <w:t>1.1</w:t>
              <w:tab/>
            </w:r>
            <w:r>
              <w:rPr>
                <w:b/>
                <w:spacing w:val="12"/>
                <w:sz w:val="24"/>
              </w:rPr>
              <w:t>本</w:t>
            </w:r>
            <w:r>
              <w:rPr>
                <w:b/>
                <w:spacing w:val="14"/>
                <w:sz w:val="24"/>
              </w:rPr>
              <w:t>项</w:t>
            </w:r>
            <w:r>
              <w:rPr>
                <w:b/>
                <w:spacing w:val="12"/>
                <w:sz w:val="24"/>
              </w:rPr>
              <w:t>目</w:t>
            </w:r>
            <w:r>
              <w:rPr>
                <w:b/>
                <w:spacing w:val="14"/>
                <w:sz w:val="24"/>
              </w:rPr>
              <w:t>与</w:t>
            </w:r>
            <w:r>
              <w:rPr>
                <w:b/>
                <w:spacing w:val="12"/>
                <w:sz w:val="24"/>
              </w:rPr>
              <w:t>各相</w:t>
            </w:r>
            <w:r>
              <w:rPr>
                <w:b/>
                <w:spacing w:val="14"/>
                <w:sz w:val="24"/>
              </w:rPr>
              <w:t>关</w:t>
            </w:r>
            <w:r>
              <w:rPr>
                <w:b/>
                <w:spacing w:val="12"/>
                <w:sz w:val="24"/>
              </w:rPr>
              <w:t>规</w:t>
            </w:r>
            <w:r>
              <w:rPr>
                <w:b/>
                <w:spacing w:val="14"/>
                <w:sz w:val="24"/>
              </w:rPr>
              <w:t>划</w:t>
            </w:r>
            <w:r>
              <w:rPr>
                <w:b/>
                <w:spacing w:val="12"/>
                <w:sz w:val="24"/>
              </w:rPr>
              <w:t>及政</w:t>
            </w:r>
            <w:r>
              <w:rPr>
                <w:b/>
                <w:spacing w:val="14"/>
                <w:sz w:val="24"/>
              </w:rPr>
              <w:t>策</w:t>
            </w:r>
            <w:r>
              <w:rPr>
                <w:b/>
                <w:spacing w:val="12"/>
                <w:sz w:val="24"/>
              </w:rPr>
              <w:t>符合</w:t>
            </w:r>
            <w:r>
              <w:rPr>
                <w:b/>
                <w:sz w:val="24"/>
              </w:rPr>
              <w:t>性</w:t>
            </w:r>
          </w:p>
        </w:tc>
      </w:tr>
      <w:tr>
        <w:trPr>
          <w:trHeight w:val="312" w:hRule="atLeast"/>
        </w:trPr>
        <w:tc>
          <w:tcPr>
            <w:tcW w:w="1553" w:type="dxa"/>
            <w:tcBorders>
              <w:top w:val="single" w:sz="12" w:space="0" w:color="000000"/>
              <w:bottom w:val="single" w:sz="12" w:space="0" w:color="000000"/>
            </w:tcBorders>
          </w:tcPr>
          <w:p>
            <w:pPr>
              <w:pStyle w:val="TableParagraph"/>
              <w:spacing w:before="20"/>
              <w:ind w:left="229" w:right="116"/>
              <w:jc w:val="center"/>
              <w:rPr>
                <w:sz w:val="21"/>
              </w:rPr>
            </w:pPr>
            <w:r>
              <w:rPr>
                <w:sz w:val="21"/>
              </w:rPr>
              <w:t>规划名称</w:t>
            </w:r>
          </w:p>
        </w:tc>
        <w:tc>
          <w:tcPr>
            <w:tcW w:w="4342" w:type="dxa"/>
            <w:tcBorders>
              <w:top w:val="single" w:sz="12" w:space="0" w:color="000000"/>
              <w:bottom w:val="single" w:sz="12" w:space="0" w:color="000000"/>
            </w:tcBorders>
          </w:tcPr>
          <w:p>
            <w:pPr>
              <w:pStyle w:val="TableParagraph"/>
              <w:spacing w:before="20"/>
              <w:ind w:left="1729" w:right="1722"/>
              <w:jc w:val="center"/>
              <w:rPr>
                <w:sz w:val="21"/>
              </w:rPr>
            </w:pPr>
            <w:r>
              <w:rPr>
                <w:sz w:val="21"/>
              </w:rPr>
              <w:t>规划内容</w:t>
            </w:r>
          </w:p>
        </w:tc>
        <w:tc>
          <w:tcPr>
            <w:tcW w:w="2704" w:type="dxa"/>
            <w:tcBorders>
              <w:top w:val="single" w:sz="12" w:space="0" w:color="000000"/>
              <w:bottom w:val="single" w:sz="12" w:space="0" w:color="000000"/>
            </w:tcBorders>
          </w:tcPr>
          <w:p>
            <w:pPr>
              <w:pStyle w:val="TableParagraph"/>
              <w:spacing w:before="20"/>
              <w:ind w:left="406"/>
              <w:rPr>
                <w:sz w:val="21"/>
              </w:rPr>
            </w:pPr>
            <w:r>
              <w:rPr>
                <w:sz w:val="21"/>
              </w:rPr>
              <w:t>本项目与规划的关系</w:t>
            </w:r>
          </w:p>
        </w:tc>
        <w:tc>
          <w:tcPr>
            <w:tcW w:w="956" w:type="dxa"/>
            <w:tcBorders>
              <w:top w:val="single" w:sz="12" w:space="0" w:color="000000"/>
              <w:bottom w:val="single" w:sz="12" w:space="0" w:color="000000"/>
            </w:tcBorders>
          </w:tcPr>
          <w:p>
            <w:pPr>
              <w:pStyle w:val="TableParagraph"/>
              <w:spacing w:before="20"/>
              <w:ind w:left="109"/>
              <w:rPr>
                <w:sz w:val="21"/>
              </w:rPr>
            </w:pPr>
            <w:r>
              <w:rPr>
                <w:sz w:val="21"/>
              </w:rPr>
              <w:t>相符性</w:t>
            </w:r>
          </w:p>
        </w:tc>
      </w:tr>
      <w:tr>
        <w:trPr>
          <w:trHeight w:val="886" w:hRule="atLeast"/>
        </w:trPr>
        <w:tc>
          <w:tcPr>
            <w:tcW w:w="1553" w:type="dxa"/>
            <w:tcBorders>
              <w:top w:val="single" w:sz="12" w:space="0" w:color="000000"/>
              <w:bottom w:val="nil"/>
            </w:tcBorders>
          </w:tcPr>
          <w:p>
            <w:pPr>
              <w:pStyle w:val="TableParagraph"/>
              <w:rPr>
                <w:rFonts w:ascii="Times New Roman"/>
                <w:sz w:val="22"/>
              </w:rPr>
            </w:pPr>
          </w:p>
        </w:tc>
        <w:tc>
          <w:tcPr>
            <w:tcW w:w="4342" w:type="dxa"/>
            <w:tcBorders>
              <w:top w:val="single" w:sz="12" w:space="0" w:color="000000"/>
              <w:bottom w:val="nil"/>
            </w:tcBorders>
          </w:tcPr>
          <w:p>
            <w:pPr>
              <w:pStyle w:val="TableParagraph"/>
              <w:rPr>
                <w:rFonts w:ascii="黑体"/>
                <w:sz w:val="20"/>
              </w:rPr>
            </w:pPr>
          </w:p>
          <w:p>
            <w:pPr>
              <w:pStyle w:val="TableParagraph"/>
              <w:spacing w:before="12"/>
              <w:rPr>
                <w:rFonts w:ascii="黑体"/>
                <w:sz w:val="27"/>
              </w:rPr>
            </w:pPr>
          </w:p>
          <w:p>
            <w:pPr>
              <w:pStyle w:val="TableParagraph"/>
              <w:spacing w:line="252" w:lineRule="exact"/>
              <w:ind w:left="106"/>
              <w:rPr>
                <w:sz w:val="21"/>
              </w:rPr>
            </w:pPr>
            <w:r>
              <w:rPr>
                <w:sz w:val="21"/>
              </w:rPr>
              <w:t>自然保护区核心区和缓冲区；饮用水水源地的</w:t>
            </w:r>
          </w:p>
        </w:tc>
        <w:tc>
          <w:tcPr>
            <w:tcW w:w="2704" w:type="dxa"/>
            <w:tcBorders>
              <w:top w:val="single" w:sz="12" w:space="0" w:color="000000"/>
              <w:bottom w:val="nil"/>
            </w:tcBorders>
          </w:tcPr>
          <w:p>
            <w:pPr>
              <w:pStyle w:val="TableParagraph"/>
              <w:rPr>
                <w:rFonts w:ascii="Times New Roman"/>
                <w:sz w:val="22"/>
              </w:rPr>
            </w:pPr>
          </w:p>
        </w:tc>
        <w:tc>
          <w:tcPr>
            <w:tcW w:w="956" w:type="dxa"/>
            <w:tcBorders>
              <w:top w:val="single" w:sz="12" w:space="0" w:color="000000"/>
              <w:bottom w:val="nil"/>
            </w:tcBorders>
          </w:tcPr>
          <w:p>
            <w:pPr>
              <w:pStyle w:val="TableParagraph"/>
              <w:rPr>
                <w:rFonts w:ascii="Times New Roman"/>
                <w:sz w:val="22"/>
              </w:rPr>
            </w:pPr>
          </w:p>
        </w:tc>
      </w:tr>
      <w:tr>
        <w:trPr>
          <w:trHeight w:val="1122" w:hRule="atLeast"/>
        </w:trPr>
        <w:tc>
          <w:tcPr>
            <w:tcW w:w="1553" w:type="dxa"/>
            <w:tcBorders>
              <w:top w:val="nil"/>
              <w:bottom w:val="nil"/>
            </w:tcBorders>
          </w:tcPr>
          <w:p>
            <w:pPr>
              <w:pStyle w:val="TableParagraph"/>
              <w:rPr>
                <w:rFonts w:ascii="Times New Roman"/>
                <w:sz w:val="22"/>
              </w:rPr>
            </w:pPr>
          </w:p>
        </w:tc>
        <w:tc>
          <w:tcPr>
            <w:tcW w:w="4342" w:type="dxa"/>
            <w:tcBorders>
              <w:top w:val="nil"/>
              <w:bottom w:val="nil"/>
            </w:tcBorders>
          </w:tcPr>
          <w:p>
            <w:pPr>
              <w:pStyle w:val="TableParagraph"/>
              <w:spacing w:before="9"/>
              <w:ind w:left="106"/>
              <w:rPr>
                <w:rFonts w:ascii="Times New Roman" w:eastAsia="Times New Roman"/>
                <w:sz w:val="21"/>
              </w:rPr>
            </w:pPr>
            <w:r>
              <w:rPr>
                <w:spacing w:val="-8"/>
                <w:w w:val="95"/>
                <w:sz w:val="21"/>
              </w:rPr>
              <w:t>一级和二级保护区；秦岭山系主梁两侧各</w:t>
            </w:r>
            <w:r>
              <w:rPr>
                <w:rFonts w:ascii="Times New Roman" w:eastAsia="Times New Roman"/>
                <w:w w:val="95"/>
                <w:sz w:val="21"/>
              </w:rPr>
              <w:t>1000</w:t>
            </w:r>
          </w:p>
          <w:p>
            <w:pPr>
              <w:pStyle w:val="TableParagraph"/>
              <w:spacing w:before="9"/>
              <w:ind w:left="106"/>
              <w:rPr>
                <w:sz w:val="21"/>
              </w:rPr>
            </w:pPr>
            <w:r>
              <w:rPr>
                <w:spacing w:val="-14"/>
                <w:sz w:val="21"/>
              </w:rPr>
              <w:t>米以内、主要支脉两侧各 </w:t>
            </w:r>
            <w:r>
              <w:rPr>
                <w:rFonts w:ascii="Times New Roman" w:eastAsia="Times New Roman"/>
                <w:sz w:val="21"/>
              </w:rPr>
              <w:t>500</w:t>
            </w:r>
            <w:r>
              <w:rPr>
                <w:rFonts w:ascii="Times New Roman" w:eastAsia="Times New Roman"/>
                <w:spacing w:val="-5"/>
                <w:sz w:val="21"/>
              </w:rPr>
              <w:t> </w:t>
            </w:r>
            <w:r>
              <w:rPr>
                <w:sz w:val="21"/>
              </w:rPr>
              <w:t>米以内或者海拔</w:t>
            </w:r>
          </w:p>
          <w:p>
            <w:pPr>
              <w:pStyle w:val="TableParagraph"/>
              <w:spacing w:line="280" w:lineRule="atLeast" w:before="1"/>
              <w:ind w:left="106" w:right="97"/>
              <w:rPr>
                <w:sz w:val="21"/>
              </w:rPr>
            </w:pPr>
            <w:r>
              <w:rPr>
                <w:rFonts w:ascii="Times New Roman" w:eastAsia="Times New Roman"/>
                <w:sz w:val="21"/>
              </w:rPr>
              <w:t>2600</w:t>
            </w:r>
            <w:r>
              <w:rPr>
                <w:rFonts w:ascii="Times New Roman" w:eastAsia="Times New Roman"/>
                <w:spacing w:val="-9"/>
                <w:sz w:val="21"/>
              </w:rPr>
              <w:t> </w:t>
            </w:r>
            <w:r>
              <w:rPr>
                <w:spacing w:val="3"/>
                <w:sz w:val="21"/>
              </w:rPr>
              <w:t>米以上区域；自然保护区实验区中珍稀</w:t>
            </w:r>
            <w:r>
              <w:rPr>
                <w:spacing w:val="6"/>
                <w:w w:val="95"/>
                <w:sz w:val="21"/>
              </w:rPr>
              <w:t>濒危野生动物栖息地与其他重要生态功能区</w:t>
            </w:r>
          </w:p>
        </w:tc>
        <w:tc>
          <w:tcPr>
            <w:tcW w:w="2704" w:type="dxa"/>
            <w:tcBorders>
              <w:top w:val="nil"/>
              <w:bottom w:val="nil"/>
            </w:tcBorders>
          </w:tcPr>
          <w:p>
            <w:pPr>
              <w:pStyle w:val="TableParagraph"/>
              <w:rPr>
                <w:rFonts w:ascii="黑体"/>
                <w:sz w:val="20"/>
              </w:rPr>
            </w:pPr>
          </w:p>
          <w:p>
            <w:pPr>
              <w:pStyle w:val="TableParagraph"/>
              <w:rPr>
                <w:rFonts w:ascii="黑体"/>
                <w:sz w:val="20"/>
              </w:rPr>
            </w:pPr>
          </w:p>
          <w:p>
            <w:pPr>
              <w:pStyle w:val="TableParagraph"/>
              <w:spacing w:before="3"/>
              <w:rPr>
                <w:rFonts w:ascii="黑体"/>
                <w:sz w:val="26"/>
              </w:rPr>
            </w:pPr>
          </w:p>
          <w:p>
            <w:pPr>
              <w:pStyle w:val="TableParagraph"/>
              <w:spacing w:line="254" w:lineRule="exact"/>
              <w:ind w:left="108"/>
              <w:rPr>
                <w:sz w:val="21"/>
              </w:rPr>
            </w:pPr>
            <w:r>
              <w:rPr>
                <w:sz w:val="21"/>
              </w:rPr>
              <w:t>根据规划恒口镇区域属于</w:t>
            </w:r>
          </w:p>
        </w:tc>
        <w:tc>
          <w:tcPr>
            <w:tcW w:w="956" w:type="dxa"/>
            <w:tcBorders>
              <w:top w:val="nil"/>
              <w:bottom w:val="nil"/>
            </w:tcBorders>
          </w:tcPr>
          <w:p>
            <w:pPr>
              <w:pStyle w:val="TableParagraph"/>
              <w:rPr>
                <w:rFonts w:ascii="Times New Roman"/>
                <w:sz w:val="22"/>
              </w:rPr>
            </w:pPr>
          </w:p>
        </w:tc>
      </w:tr>
      <w:tr>
        <w:trPr>
          <w:trHeight w:val="279" w:hRule="atLeast"/>
        </w:trPr>
        <w:tc>
          <w:tcPr>
            <w:tcW w:w="1553" w:type="dxa"/>
            <w:tcBorders>
              <w:top w:val="nil"/>
              <w:bottom w:val="nil"/>
            </w:tcBorders>
          </w:tcPr>
          <w:p>
            <w:pPr>
              <w:pStyle w:val="TableParagraph"/>
              <w:rPr>
                <w:rFonts w:ascii="Times New Roman"/>
                <w:sz w:val="20"/>
              </w:rPr>
            </w:pPr>
          </w:p>
        </w:tc>
        <w:tc>
          <w:tcPr>
            <w:tcW w:w="4342" w:type="dxa"/>
            <w:tcBorders>
              <w:top w:val="nil"/>
              <w:bottom w:val="nil"/>
            </w:tcBorders>
          </w:tcPr>
          <w:p>
            <w:pPr>
              <w:pStyle w:val="TableParagraph"/>
              <w:spacing w:line="255" w:lineRule="exact" w:before="4"/>
              <w:ind w:left="106"/>
              <w:rPr>
                <w:sz w:val="21"/>
              </w:rPr>
            </w:pPr>
            <w:r>
              <w:rPr>
                <w:sz w:val="21"/>
              </w:rPr>
              <w:t>集中连片，需要整体性、系统性保护的区域。</w:t>
            </w:r>
          </w:p>
        </w:tc>
        <w:tc>
          <w:tcPr>
            <w:tcW w:w="2704" w:type="dxa"/>
            <w:tcBorders>
              <w:top w:val="nil"/>
              <w:bottom w:val="nil"/>
            </w:tcBorders>
          </w:tcPr>
          <w:p>
            <w:pPr>
              <w:pStyle w:val="TableParagraph"/>
              <w:spacing w:line="255" w:lineRule="exact" w:before="4"/>
              <w:ind w:left="108"/>
              <w:rPr>
                <w:sz w:val="21"/>
              </w:rPr>
            </w:pPr>
            <w:r>
              <w:rPr>
                <w:sz w:val="21"/>
              </w:rPr>
              <w:t>秦岭范围，但项目矿山周围</w:t>
            </w:r>
          </w:p>
        </w:tc>
        <w:tc>
          <w:tcPr>
            <w:tcW w:w="956" w:type="dxa"/>
            <w:tcBorders>
              <w:top w:val="nil"/>
              <w:bottom w:val="nil"/>
            </w:tcBorders>
          </w:tcPr>
          <w:p>
            <w:pPr>
              <w:pStyle w:val="TableParagraph"/>
              <w:rPr>
                <w:rFonts w:ascii="Times New Roman"/>
                <w:sz w:val="20"/>
              </w:rPr>
            </w:pPr>
          </w:p>
        </w:tc>
      </w:tr>
      <w:tr>
        <w:trPr>
          <w:trHeight w:val="280" w:hRule="atLeast"/>
        </w:trPr>
        <w:tc>
          <w:tcPr>
            <w:tcW w:w="1553" w:type="dxa"/>
            <w:tcBorders>
              <w:top w:val="nil"/>
              <w:bottom w:val="nil"/>
            </w:tcBorders>
          </w:tcPr>
          <w:p>
            <w:pPr>
              <w:pStyle w:val="TableParagraph"/>
              <w:rPr>
                <w:rFonts w:ascii="Times New Roman"/>
                <w:sz w:val="20"/>
              </w:rPr>
            </w:pPr>
          </w:p>
        </w:tc>
        <w:tc>
          <w:tcPr>
            <w:tcW w:w="4342" w:type="dxa"/>
            <w:tcBorders>
              <w:top w:val="nil"/>
              <w:bottom w:val="nil"/>
            </w:tcBorders>
          </w:tcPr>
          <w:p>
            <w:pPr>
              <w:pStyle w:val="TableParagraph"/>
              <w:spacing w:line="255" w:lineRule="exact" w:before="5"/>
              <w:ind w:left="106"/>
              <w:rPr>
                <w:sz w:val="21"/>
              </w:rPr>
            </w:pPr>
            <w:r>
              <w:rPr>
                <w:sz w:val="21"/>
              </w:rPr>
              <w:t>主要包括安康秦岭区域内的自然保护区、河流</w:t>
            </w:r>
          </w:p>
        </w:tc>
        <w:tc>
          <w:tcPr>
            <w:tcW w:w="2704" w:type="dxa"/>
            <w:tcBorders>
              <w:top w:val="nil"/>
              <w:bottom w:val="nil"/>
            </w:tcBorders>
          </w:tcPr>
          <w:p>
            <w:pPr>
              <w:pStyle w:val="TableParagraph"/>
              <w:spacing w:line="255" w:lineRule="exact" w:before="5"/>
              <w:ind w:left="108"/>
              <w:rPr>
                <w:sz w:val="21"/>
              </w:rPr>
            </w:pPr>
            <w:r>
              <w:rPr>
                <w:sz w:val="21"/>
              </w:rPr>
              <w:t>无自然保护区核心区和缓</w:t>
            </w:r>
          </w:p>
        </w:tc>
        <w:tc>
          <w:tcPr>
            <w:tcW w:w="956" w:type="dxa"/>
            <w:tcBorders>
              <w:top w:val="nil"/>
              <w:bottom w:val="nil"/>
            </w:tcBorders>
          </w:tcPr>
          <w:p>
            <w:pPr>
              <w:pStyle w:val="TableParagraph"/>
              <w:rPr>
                <w:rFonts w:ascii="Times New Roman"/>
                <w:sz w:val="20"/>
              </w:rPr>
            </w:pPr>
          </w:p>
        </w:tc>
      </w:tr>
      <w:tr>
        <w:trPr>
          <w:trHeight w:val="279" w:hRule="atLeast"/>
        </w:trPr>
        <w:tc>
          <w:tcPr>
            <w:tcW w:w="1553" w:type="dxa"/>
            <w:tcBorders>
              <w:top w:val="nil"/>
              <w:bottom w:val="nil"/>
            </w:tcBorders>
          </w:tcPr>
          <w:p>
            <w:pPr>
              <w:pStyle w:val="TableParagraph"/>
              <w:spacing w:line="254" w:lineRule="exact" w:before="5"/>
              <w:ind w:left="231" w:right="116"/>
              <w:jc w:val="center"/>
              <w:rPr>
                <w:sz w:val="21"/>
              </w:rPr>
            </w:pPr>
            <w:r>
              <w:rPr>
                <w:sz w:val="21"/>
              </w:rPr>
              <w:t>《 安康市秦</w:t>
            </w:r>
          </w:p>
        </w:tc>
        <w:tc>
          <w:tcPr>
            <w:tcW w:w="4342" w:type="dxa"/>
            <w:tcBorders>
              <w:top w:val="nil"/>
              <w:bottom w:val="nil"/>
            </w:tcBorders>
          </w:tcPr>
          <w:p>
            <w:pPr>
              <w:pStyle w:val="TableParagraph"/>
              <w:spacing w:line="254" w:lineRule="exact" w:before="5"/>
              <w:ind w:left="106"/>
              <w:rPr>
                <w:sz w:val="21"/>
              </w:rPr>
            </w:pPr>
            <w:r>
              <w:rPr>
                <w:sz w:val="21"/>
              </w:rPr>
              <w:t>水系、水源涵养地、风景名胜区、珍稀动植物</w:t>
            </w:r>
          </w:p>
        </w:tc>
        <w:tc>
          <w:tcPr>
            <w:tcW w:w="2704" w:type="dxa"/>
            <w:tcBorders>
              <w:top w:val="nil"/>
              <w:bottom w:val="nil"/>
            </w:tcBorders>
          </w:tcPr>
          <w:p>
            <w:pPr>
              <w:pStyle w:val="TableParagraph"/>
              <w:spacing w:line="254" w:lineRule="exact" w:before="5"/>
              <w:ind w:left="108"/>
              <w:rPr>
                <w:sz w:val="21"/>
              </w:rPr>
            </w:pPr>
            <w:r>
              <w:rPr>
                <w:sz w:val="21"/>
              </w:rPr>
              <w:t>冲区；饮用水水源地的一级</w:t>
            </w:r>
          </w:p>
        </w:tc>
        <w:tc>
          <w:tcPr>
            <w:tcW w:w="956" w:type="dxa"/>
            <w:tcBorders>
              <w:top w:val="nil"/>
              <w:bottom w:val="nil"/>
            </w:tcBorders>
          </w:tcPr>
          <w:p>
            <w:pPr>
              <w:pStyle w:val="TableParagraph"/>
              <w:rPr>
                <w:rFonts w:ascii="Times New Roman"/>
                <w:sz w:val="20"/>
              </w:rPr>
            </w:pPr>
          </w:p>
        </w:tc>
      </w:tr>
      <w:tr>
        <w:trPr>
          <w:trHeight w:val="279" w:hRule="atLeast"/>
        </w:trPr>
        <w:tc>
          <w:tcPr>
            <w:tcW w:w="1553" w:type="dxa"/>
            <w:tcBorders>
              <w:top w:val="nil"/>
              <w:bottom w:val="nil"/>
            </w:tcBorders>
          </w:tcPr>
          <w:p>
            <w:pPr>
              <w:pStyle w:val="TableParagraph"/>
              <w:spacing w:line="255" w:lineRule="exact" w:before="4"/>
              <w:ind w:left="231" w:right="116"/>
              <w:jc w:val="center"/>
              <w:rPr>
                <w:sz w:val="21"/>
              </w:rPr>
            </w:pPr>
            <w:r>
              <w:rPr>
                <w:sz w:val="21"/>
              </w:rPr>
              <w:t>岭生态环境</w:t>
            </w:r>
          </w:p>
        </w:tc>
        <w:tc>
          <w:tcPr>
            <w:tcW w:w="4342" w:type="dxa"/>
            <w:tcBorders>
              <w:top w:val="nil"/>
              <w:bottom w:val="nil"/>
            </w:tcBorders>
          </w:tcPr>
          <w:p>
            <w:pPr>
              <w:pStyle w:val="TableParagraph"/>
              <w:spacing w:line="255" w:lineRule="exact" w:before="4"/>
              <w:ind w:left="106"/>
              <w:rPr>
                <w:sz w:val="21"/>
              </w:rPr>
            </w:pPr>
            <w:r>
              <w:rPr>
                <w:sz w:val="21"/>
              </w:rPr>
              <w:t>栖息地、地质公园、地质遗迹保护区等为禁止</w:t>
            </w:r>
          </w:p>
        </w:tc>
        <w:tc>
          <w:tcPr>
            <w:tcW w:w="2704" w:type="dxa"/>
            <w:tcBorders>
              <w:top w:val="nil"/>
              <w:bottom w:val="nil"/>
            </w:tcBorders>
          </w:tcPr>
          <w:p>
            <w:pPr>
              <w:pStyle w:val="TableParagraph"/>
              <w:spacing w:line="255" w:lineRule="exact" w:before="4"/>
              <w:ind w:left="108"/>
              <w:rPr>
                <w:sz w:val="21"/>
              </w:rPr>
            </w:pPr>
            <w:r>
              <w:rPr>
                <w:sz w:val="21"/>
              </w:rPr>
              <w:t>和二级保护区；同时也无需</w:t>
            </w:r>
          </w:p>
        </w:tc>
        <w:tc>
          <w:tcPr>
            <w:tcW w:w="956" w:type="dxa"/>
            <w:tcBorders>
              <w:top w:val="nil"/>
              <w:bottom w:val="nil"/>
            </w:tcBorders>
          </w:tcPr>
          <w:p>
            <w:pPr>
              <w:pStyle w:val="TableParagraph"/>
              <w:rPr>
                <w:rFonts w:ascii="Times New Roman"/>
                <w:sz w:val="20"/>
              </w:rPr>
            </w:pPr>
          </w:p>
        </w:tc>
      </w:tr>
      <w:tr>
        <w:trPr>
          <w:trHeight w:val="277" w:hRule="atLeast"/>
        </w:trPr>
        <w:tc>
          <w:tcPr>
            <w:tcW w:w="1553" w:type="dxa"/>
            <w:tcBorders>
              <w:top w:val="nil"/>
              <w:bottom w:val="nil"/>
            </w:tcBorders>
          </w:tcPr>
          <w:p>
            <w:pPr>
              <w:pStyle w:val="TableParagraph"/>
              <w:spacing w:line="252" w:lineRule="exact" w:before="5"/>
              <w:ind w:left="231" w:right="116"/>
              <w:jc w:val="center"/>
              <w:rPr>
                <w:sz w:val="21"/>
              </w:rPr>
            </w:pPr>
            <w:r>
              <w:rPr>
                <w:sz w:val="21"/>
              </w:rPr>
              <w:t>保 护 规 划</w:t>
            </w:r>
          </w:p>
        </w:tc>
        <w:tc>
          <w:tcPr>
            <w:tcW w:w="4342" w:type="dxa"/>
            <w:tcBorders>
              <w:top w:val="nil"/>
              <w:bottom w:val="nil"/>
            </w:tcBorders>
          </w:tcPr>
          <w:p>
            <w:pPr>
              <w:pStyle w:val="TableParagraph"/>
              <w:spacing w:line="252" w:lineRule="exact" w:before="5"/>
              <w:ind w:left="106"/>
              <w:rPr>
                <w:sz w:val="21"/>
              </w:rPr>
            </w:pPr>
            <w:r>
              <w:rPr>
                <w:sz w:val="21"/>
              </w:rPr>
              <w:t>开发区；除城乡规划区外，主要包括：自然保</w:t>
            </w:r>
          </w:p>
        </w:tc>
        <w:tc>
          <w:tcPr>
            <w:tcW w:w="2704" w:type="dxa"/>
            <w:tcBorders>
              <w:top w:val="nil"/>
              <w:bottom w:val="nil"/>
            </w:tcBorders>
          </w:tcPr>
          <w:p>
            <w:pPr>
              <w:pStyle w:val="TableParagraph"/>
              <w:spacing w:line="252" w:lineRule="exact" w:before="5"/>
              <w:ind w:left="108"/>
              <w:rPr>
                <w:sz w:val="21"/>
              </w:rPr>
            </w:pPr>
            <w:r>
              <w:rPr>
                <w:sz w:val="21"/>
              </w:rPr>
              <w:t>要特殊保护无风景名胜，森</w:t>
            </w:r>
          </w:p>
        </w:tc>
        <w:tc>
          <w:tcPr>
            <w:tcW w:w="956" w:type="dxa"/>
            <w:tcBorders>
              <w:top w:val="nil"/>
              <w:bottom w:val="nil"/>
            </w:tcBorders>
          </w:tcPr>
          <w:p>
            <w:pPr>
              <w:pStyle w:val="TableParagraph"/>
              <w:spacing w:line="252" w:lineRule="exact" w:before="5"/>
              <w:ind w:left="107"/>
              <w:rPr>
                <w:sz w:val="21"/>
              </w:rPr>
            </w:pPr>
            <w:r>
              <w:rPr>
                <w:sz w:val="21"/>
              </w:rPr>
              <w:t>符合</w:t>
            </w:r>
          </w:p>
        </w:tc>
      </w:tr>
      <w:tr>
        <w:trPr>
          <w:trHeight w:val="843" w:hRule="atLeast"/>
        </w:trPr>
        <w:tc>
          <w:tcPr>
            <w:tcW w:w="1553" w:type="dxa"/>
            <w:tcBorders>
              <w:top w:val="nil"/>
              <w:bottom w:val="nil"/>
            </w:tcBorders>
          </w:tcPr>
          <w:p>
            <w:pPr>
              <w:pStyle w:val="TableParagraph"/>
              <w:spacing w:before="9"/>
              <w:ind w:left="214" w:right="-15"/>
              <w:rPr>
                <w:sz w:val="21"/>
              </w:rPr>
            </w:pPr>
            <w:r>
              <w:rPr>
                <w:sz w:val="21"/>
              </w:rPr>
              <w:t>（</w:t>
            </w:r>
            <w:r>
              <w:rPr>
                <w:rFonts w:ascii="Times New Roman" w:eastAsia="Times New Roman"/>
                <w:sz w:val="21"/>
              </w:rPr>
              <w:t>2018-2025</w:t>
            </w:r>
            <w:r>
              <w:rPr>
                <w:sz w:val="21"/>
              </w:rPr>
              <w:t>）</w:t>
            </w:r>
          </w:p>
          <w:p>
            <w:pPr>
              <w:pStyle w:val="TableParagraph"/>
              <w:spacing w:before="9"/>
              <w:ind w:left="214"/>
              <w:rPr>
                <w:sz w:val="21"/>
              </w:rPr>
            </w:pPr>
            <w:r>
              <w:rPr>
                <w:w w:val="99"/>
                <w:sz w:val="21"/>
              </w:rPr>
              <w:t>》</w:t>
            </w:r>
          </w:p>
        </w:tc>
        <w:tc>
          <w:tcPr>
            <w:tcW w:w="4342" w:type="dxa"/>
            <w:tcBorders>
              <w:top w:val="nil"/>
              <w:bottom w:val="nil"/>
            </w:tcBorders>
          </w:tcPr>
          <w:p>
            <w:pPr>
              <w:pStyle w:val="TableParagraph"/>
              <w:spacing w:line="247" w:lineRule="auto" w:before="9"/>
              <w:ind w:left="106" w:right="23"/>
              <w:rPr>
                <w:sz w:val="21"/>
              </w:rPr>
            </w:pPr>
            <w:r>
              <w:rPr>
                <w:w w:val="95"/>
                <w:sz w:val="21"/>
              </w:rPr>
              <w:t>护区的实验区、种质资源保护区、重要湿地、 </w:t>
            </w:r>
            <w:r>
              <w:rPr>
                <w:spacing w:val="-5"/>
                <w:sz w:val="21"/>
              </w:rPr>
              <w:t>饮用水水源保护地准保护区；风景名胜区、森</w:t>
            </w:r>
          </w:p>
          <w:p>
            <w:pPr>
              <w:pStyle w:val="TableParagraph"/>
              <w:spacing w:line="255" w:lineRule="exact" w:before="4"/>
              <w:ind w:left="106"/>
              <w:rPr>
                <w:sz w:val="21"/>
              </w:rPr>
            </w:pPr>
            <w:r>
              <w:rPr>
                <w:spacing w:val="-10"/>
                <w:w w:val="95"/>
                <w:sz w:val="21"/>
              </w:rPr>
              <w:t>林公园、地质公园、植物园、国有天然林分布</w:t>
            </w:r>
          </w:p>
        </w:tc>
        <w:tc>
          <w:tcPr>
            <w:tcW w:w="2704" w:type="dxa"/>
            <w:tcBorders>
              <w:top w:val="nil"/>
              <w:bottom w:val="nil"/>
            </w:tcBorders>
          </w:tcPr>
          <w:p>
            <w:pPr>
              <w:pStyle w:val="TableParagraph"/>
              <w:spacing w:before="9"/>
              <w:ind w:left="108"/>
              <w:rPr>
                <w:sz w:val="21"/>
              </w:rPr>
            </w:pPr>
            <w:r>
              <w:rPr>
                <w:spacing w:val="-5"/>
                <w:w w:val="95"/>
                <w:sz w:val="21"/>
              </w:rPr>
              <w:t>林公园等资源，项目海拔在</w:t>
            </w:r>
          </w:p>
          <w:p>
            <w:pPr>
              <w:pStyle w:val="TableParagraph"/>
              <w:spacing w:before="9"/>
              <w:ind w:left="108"/>
              <w:rPr>
                <w:sz w:val="21"/>
              </w:rPr>
            </w:pPr>
            <w:r>
              <w:rPr>
                <w:rFonts w:ascii="Times New Roman" w:eastAsia="Times New Roman"/>
                <w:sz w:val="21"/>
              </w:rPr>
              <w:t>1500m</w:t>
            </w:r>
            <w:r>
              <w:rPr>
                <w:rFonts w:ascii="Times New Roman" w:eastAsia="Times New Roman"/>
                <w:spacing w:val="-5"/>
                <w:sz w:val="21"/>
              </w:rPr>
              <w:t> </w:t>
            </w:r>
            <w:r>
              <w:rPr>
                <w:spacing w:val="-6"/>
                <w:sz w:val="21"/>
              </w:rPr>
              <w:t>以下，因此属于适度</w:t>
            </w:r>
          </w:p>
          <w:p>
            <w:pPr>
              <w:pStyle w:val="TableParagraph"/>
              <w:spacing w:line="255" w:lineRule="exact" w:before="12"/>
              <w:ind w:left="108"/>
              <w:rPr>
                <w:sz w:val="21"/>
              </w:rPr>
            </w:pPr>
            <w:r>
              <w:rPr>
                <w:spacing w:val="3"/>
                <w:sz w:val="21"/>
              </w:rPr>
              <w:t>开发区域， 因此与规划相</w:t>
            </w:r>
          </w:p>
        </w:tc>
        <w:tc>
          <w:tcPr>
            <w:tcW w:w="956" w:type="dxa"/>
            <w:tcBorders>
              <w:top w:val="nil"/>
              <w:bottom w:val="nil"/>
            </w:tcBorders>
          </w:tcPr>
          <w:p>
            <w:pPr>
              <w:pStyle w:val="TableParagraph"/>
              <w:rPr>
                <w:rFonts w:ascii="Times New Roman"/>
                <w:sz w:val="22"/>
              </w:rPr>
            </w:pPr>
          </w:p>
        </w:tc>
      </w:tr>
      <w:tr>
        <w:trPr>
          <w:trHeight w:val="279" w:hRule="atLeast"/>
        </w:trPr>
        <w:tc>
          <w:tcPr>
            <w:tcW w:w="1553" w:type="dxa"/>
            <w:tcBorders>
              <w:top w:val="nil"/>
              <w:bottom w:val="nil"/>
            </w:tcBorders>
          </w:tcPr>
          <w:p>
            <w:pPr>
              <w:pStyle w:val="TableParagraph"/>
              <w:rPr>
                <w:rFonts w:ascii="Times New Roman"/>
                <w:sz w:val="20"/>
              </w:rPr>
            </w:pPr>
          </w:p>
        </w:tc>
        <w:tc>
          <w:tcPr>
            <w:tcW w:w="4342" w:type="dxa"/>
            <w:tcBorders>
              <w:top w:val="nil"/>
              <w:bottom w:val="nil"/>
            </w:tcBorders>
          </w:tcPr>
          <w:p>
            <w:pPr>
              <w:pStyle w:val="TableParagraph"/>
              <w:spacing w:line="254" w:lineRule="exact" w:before="5"/>
              <w:ind w:left="106"/>
              <w:rPr>
                <w:sz w:val="21"/>
              </w:rPr>
            </w:pPr>
            <w:r>
              <w:rPr>
                <w:sz w:val="21"/>
              </w:rPr>
              <w:t>区以及重要水库、湖泊；重点文物保护单位、</w:t>
            </w:r>
          </w:p>
        </w:tc>
        <w:tc>
          <w:tcPr>
            <w:tcW w:w="2704" w:type="dxa"/>
            <w:tcBorders>
              <w:top w:val="nil"/>
              <w:bottom w:val="nil"/>
            </w:tcBorders>
          </w:tcPr>
          <w:p>
            <w:pPr>
              <w:pStyle w:val="TableParagraph"/>
              <w:spacing w:line="254" w:lineRule="exact" w:before="5"/>
              <w:ind w:left="108"/>
              <w:rPr>
                <w:sz w:val="21"/>
              </w:rPr>
            </w:pPr>
            <w:r>
              <w:rPr>
                <w:sz w:val="21"/>
              </w:rPr>
              <w:t>符。</w:t>
            </w:r>
          </w:p>
        </w:tc>
        <w:tc>
          <w:tcPr>
            <w:tcW w:w="956" w:type="dxa"/>
            <w:tcBorders>
              <w:top w:val="nil"/>
              <w:bottom w:val="nil"/>
            </w:tcBorders>
          </w:tcPr>
          <w:p>
            <w:pPr>
              <w:pStyle w:val="TableParagraph"/>
              <w:rPr>
                <w:rFonts w:ascii="Times New Roman"/>
                <w:sz w:val="20"/>
              </w:rPr>
            </w:pPr>
          </w:p>
        </w:tc>
      </w:tr>
      <w:tr>
        <w:trPr>
          <w:trHeight w:val="276" w:hRule="atLeast"/>
        </w:trPr>
        <w:tc>
          <w:tcPr>
            <w:tcW w:w="1553" w:type="dxa"/>
            <w:tcBorders>
              <w:top w:val="nil"/>
              <w:bottom w:val="nil"/>
            </w:tcBorders>
          </w:tcPr>
          <w:p>
            <w:pPr>
              <w:pStyle w:val="TableParagraph"/>
              <w:rPr>
                <w:rFonts w:ascii="Times New Roman"/>
                <w:sz w:val="20"/>
              </w:rPr>
            </w:pPr>
          </w:p>
        </w:tc>
        <w:tc>
          <w:tcPr>
            <w:tcW w:w="4342" w:type="dxa"/>
            <w:tcBorders>
              <w:top w:val="nil"/>
              <w:bottom w:val="nil"/>
            </w:tcBorders>
          </w:tcPr>
          <w:p>
            <w:pPr>
              <w:pStyle w:val="TableParagraph"/>
              <w:spacing w:line="252" w:lineRule="exact" w:before="4"/>
              <w:ind w:left="106"/>
              <w:rPr>
                <w:sz w:val="21"/>
              </w:rPr>
            </w:pPr>
            <w:r>
              <w:rPr>
                <w:sz w:val="21"/>
              </w:rPr>
              <w:t>自然文化遗存；禁止开发区以外，山体海拔</w:t>
            </w:r>
          </w:p>
        </w:tc>
        <w:tc>
          <w:tcPr>
            <w:tcW w:w="2704" w:type="dxa"/>
            <w:tcBorders>
              <w:top w:val="nil"/>
              <w:bottom w:val="nil"/>
            </w:tcBorders>
          </w:tcPr>
          <w:p>
            <w:pPr>
              <w:pStyle w:val="TableParagraph"/>
              <w:rPr>
                <w:rFonts w:ascii="Times New Roman"/>
                <w:sz w:val="20"/>
              </w:rPr>
            </w:pPr>
          </w:p>
        </w:tc>
        <w:tc>
          <w:tcPr>
            <w:tcW w:w="956" w:type="dxa"/>
            <w:tcBorders>
              <w:top w:val="nil"/>
              <w:bottom w:val="nil"/>
            </w:tcBorders>
          </w:tcPr>
          <w:p>
            <w:pPr>
              <w:pStyle w:val="TableParagraph"/>
              <w:rPr>
                <w:rFonts w:ascii="Times New Roman"/>
                <w:sz w:val="20"/>
              </w:rPr>
            </w:pPr>
          </w:p>
        </w:tc>
      </w:tr>
      <w:tr>
        <w:trPr>
          <w:trHeight w:val="560" w:hRule="atLeast"/>
        </w:trPr>
        <w:tc>
          <w:tcPr>
            <w:tcW w:w="1553" w:type="dxa"/>
            <w:tcBorders>
              <w:top w:val="nil"/>
              <w:bottom w:val="nil"/>
            </w:tcBorders>
          </w:tcPr>
          <w:p>
            <w:pPr>
              <w:pStyle w:val="TableParagraph"/>
              <w:rPr>
                <w:rFonts w:ascii="Times New Roman"/>
                <w:sz w:val="22"/>
              </w:rPr>
            </w:pPr>
          </w:p>
        </w:tc>
        <w:tc>
          <w:tcPr>
            <w:tcW w:w="4342" w:type="dxa"/>
            <w:tcBorders>
              <w:top w:val="nil"/>
              <w:bottom w:val="nil"/>
            </w:tcBorders>
          </w:tcPr>
          <w:p>
            <w:pPr>
              <w:pStyle w:val="TableParagraph"/>
              <w:spacing w:before="9"/>
              <w:ind w:left="106"/>
              <w:rPr>
                <w:sz w:val="21"/>
              </w:rPr>
            </w:pPr>
            <w:r>
              <w:rPr>
                <w:rFonts w:ascii="Times New Roman" w:eastAsia="Times New Roman"/>
                <w:sz w:val="21"/>
              </w:rPr>
              <w:t>1500</w:t>
            </w:r>
            <w:r>
              <w:rPr>
                <w:rFonts w:ascii="Times New Roman" w:eastAsia="Times New Roman"/>
                <w:spacing w:val="-12"/>
                <w:sz w:val="21"/>
              </w:rPr>
              <w:t> </w:t>
            </w:r>
            <w:r>
              <w:rPr>
                <w:spacing w:val="-13"/>
                <w:sz w:val="21"/>
              </w:rPr>
              <w:t>米以上至 </w:t>
            </w:r>
            <w:r>
              <w:rPr>
                <w:rFonts w:ascii="Times New Roman" w:eastAsia="Times New Roman"/>
                <w:sz w:val="21"/>
              </w:rPr>
              <w:t>2600</w:t>
            </w:r>
            <w:r>
              <w:rPr>
                <w:rFonts w:ascii="Times New Roman" w:eastAsia="Times New Roman"/>
                <w:spacing w:val="-8"/>
                <w:sz w:val="21"/>
              </w:rPr>
              <w:t> </w:t>
            </w:r>
            <w:r>
              <w:rPr>
                <w:sz w:val="21"/>
              </w:rPr>
              <w:t>米之间的区域为限制开发</w:t>
            </w:r>
          </w:p>
          <w:p>
            <w:pPr>
              <w:pStyle w:val="TableParagraph"/>
              <w:spacing w:line="251" w:lineRule="exact" w:before="11"/>
              <w:ind w:left="106"/>
              <w:rPr>
                <w:sz w:val="21"/>
              </w:rPr>
            </w:pPr>
            <w:r>
              <w:rPr>
                <w:spacing w:val="-8"/>
                <w:w w:val="95"/>
                <w:sz w:val="21"/>
              </w:rPr>
              <w:t>区；安康市秦岭范围内除禁止开发区、限制开</w:t>
            </w:r>
          </w:p>
        </w:tc>
        <w:tc>
          <w:tcPr>
            <w:tcW w:w="2704" w:type="dxa"/>
            <w:tcBorders>
              <w:top w:val="nil"/>
              <w:bottom w:val="nil"/>
            </w:tcBorders>
          </w:tcPr>
          <w:p>
            <w:pPr>
              <w:pStyle w:val="TableParagraph"/>
              <w:rPr>
                <w:rFonts w:ascii="Times New Roman"/>
                <w:sz w:val="22"/>
              </w:rPr>
            </w:pPr>
          </w:p>
        </w:tc>
        <w:tc>
          <w:tcPr>
            <w:tcW w:w="956" w:type="dxa"/>
            <w:tcBorders>
              <w:top w:val="nil"/>
              <w:bottom w:val="nil"/>
            </w:tcBorders>
          </w:tcPr>
          <w:p>
            <w:pPr>
              <w:pStyle w:val="TableParagraph"/>
              <w:rPr>
                <w:rFonts w:ascii="Times New Roman"/>
                <w:sz w:val="22"/>
              </w:rPr>
            </w:pPr>
          </w:p>
        </w:tc>
      </w:tr>
      <w:tr>
        <w:trPr>
          <w:trHeight w:val="1153" w:hRule="atLeast"/>
        </w:trPr>
        <w:tc>
          <w:tcPr>
            <w:tcW w:w="1553" w:type="dxa"/>
            <w:tcBorders>
              <w:top w:val="nil"/>
            </w:tcBorders>
          </w:tcPr>
          <w:p>
            <w:pPr>
              <w:pStyle w:val="TableParagraph"/>
              <w:rPr>
                <w:rFonts w:ascii="Times New Roman"/>
                <w:sz w:val="22"/>
              </w:rPr>
            </w:pPr>
          </w:p>
        </w:tc>
        <w:tc>
          <w:tcPr>
            <w:tcW w:w="4342" w:type="dxa"/>
            <w:tcBorders>
              <w:top w:val="nil"/>
            </w:tcBorders>
          </w:tcPr>
          <w:p>
            <w:pPr>
              <w:pStyle w:val="TableParagraph"/>
              <w:spacing w:line="249" w:lineRule="auto" w:before="7"/>
              <w:ind w:left="106" w:right="47"/>
              <w:rPr>
                <w:sz w:val="21"/>
              </w:rPr>
            </w:pPr>
            <w:r>
              <w:rPr>
                <w:sz w:val="21"/>
              </w:rPr>
              <w:t>发区以外的区域，海拔 </w:t>
            </w:r>
            <w:r>
              <w:rPr>
                <w:rFonts w:ascii="Times New Roman" w:eastAsia="Times New Roman"/>
                <w:sz w:val="21"/>
              </w:rPr>
              <w:t>1500 </w:t>
            </w:r>
            <w:r>
              <w:rPr>
                <w:sz w:val="21"/>
              </w:rPr>
              <w:t>米以下的区域为适度开发区。</w:t>
            </w:r>
          </w:p>
        </w:tc>
        <w:tc>
          <w:tcPr>
            <w:tcW w:w="2704" w:type="dxa"/>
            <w:tcBorders>
              <w:top w:val="nil"/>
            </w:tcBorders>
          </w:tcPr>
          <w:p>
            <w:pPr>
              <w:pStyle w:val="TableParagraph"/>
              <w:rPr>
                <w:rFonts w:ascii="Times New Roman"/>
                <w:sz w:val="22"/>
              </w:rPr>
            </w:pPr>
          </w:p>
        </w:tc>
        <w:tc>
          <w:tcPr>
            <w:tcW w:w="956" w:type="dxa"/>
            <w:tcBorders>
              <w:top w:val="nil"/>
            </w:tcBorders>
          </w:tcPr>
          <w:p>
            <w:pPr>
              <w:pStyle w:val="TableParagraph"/>
              <w:rPr>
                <w:rFonts w:ascii="Times New Roman"/>
                <w:sz w:val="22"/>
              </w:rPr>
            </w:pPr>
          </w:p>
        </w:tc>
      </w:tr>
    </w:tbl>
    <w:p>
      <w:pPr>
        <w:spacing w:after="0"/>
        <w:rPr>
          <w:rFonts w:ascii="Times New Roman"/>
          <w:sz w:val="22"/>
        </w:rPr>
        <w:sectPr>
          <w:pgSz w:w="11910" w:h="16840"/>
          <w:pgMar w:header="0" w:footer="770" w:top="1220" w:bottom="960" w:left="1020" w:right="880"/>
        </w:sectPr>
      </w:pPr>
    </w:p>
    <w:tbl>
      <w:tblPr>
        <w:tblW w:w="0" w:type="auto"/>
        <w:jc w:val="left"/>
        <w:tblInd w:w="2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30"/>
        <w:gridCol w:w="723"/>
        <w:gridCol w:w="4342"/>
        <w:gridCol w:w="2704"/>
        <w:gridCol w:w="956"/>
      </w:tblGrid>
      <w:tr>
        <w:trPr>
          <w:trHeight w:val="557" w:hRule="atLeast"/>
        </w:trPr>
        <w:tc>
          <w:tcPr>
            <w:tcW w:w="1553" w:type="dxa"/>
            <w:gridSpan w:val="2"/>
            <w:vMerge w:val="restart"/>
            <w:tcBorders>
              <w:left w:val="single" w:sz="4" w:space="0" w:color="000000"/>
              <w:bottom w:val="single" w:sz="4" w:space="0" w:color="000000"/>
              <w:right w:val="single" w:sz="4" w:space="0" w:color="000000"/>
            </w:tcBorders>
          </w:tcPr>
          <w:p>
            <w:pPr>
              <w:pStyle w:val="TableParagraph"/>
              <w:spacing w:line="249" w:lineRule="auto" w:before="158"/>
              <w:ind w:left="303" w:right="188"/>
              <w:jc w:val="center"/>
              <w:rPr>
                <w:sz w:val="21"/>
              </w:rPr>
            </w:pPr>
            <w:r>
              <w:rPr>
                <w:sz w:val="21"/>
              </w:rPr>
              <w:t>《安康市矿产资源总体规划》</w:t>
            </w:r>
          </w:p>
          <w:p>
            <w:pPr>
              <w:pStyle w:val="TableParagraph"/>
              <w:ind w:left="214" w:right="-15"/>
              <w:rPr>
                <w:sz w:val="21"/>
              </w:rPr>
            </w:pPr>
            <w:r>
              <w:rPr>
                <w:sz w:val="21"/>
              </w:rPr>
              <w:t>（</w:t>
            </w:r>
            <w:r>
              <w:rPr>
                <w:rFonts w:ascii="Times New Roman" w:eastAsia="Times New Roman"/>
                <w:sz w:val="21"/>
              </w:rPr>
              <w:t>2016-2020</w:t>
            </w:r>
            <w:r>
              <w:rPr>
                <w:sz w:val="21"/>
              </w:rPr>
              <w:t>）</w:t>
            </w:r>
          </w:p>
        </w:tc>
        <w:tc>
          <w:tcPr>
            <w:tcW w:w="4342" w:type="dxa"/>
            <w:tcBorders>
              <w:left w:val="single" w:sz="4" w:space="0" w:color="000000"/>
              <w:bottom w:val="single" w:sz="4" w:space="0" w:color="000000"/>
              <w:right w:val="single" w:sz="4" w:space="0" w:color="000000"/>
            </w:tcBorders>
          </w:tcPr>
          <w:p>
            <w:pPr>
              <w:pStyle w:val="TableParagraph"/>
              <w:spacing w:line="280" w:lineRule="atLeast"/>
              <w:ind w:left="106" w:right="46"/>
              <w:rPr>
                <w:sz w:val="21"/>
              </w:rPr>
            </w:pPr>
            <w:r>
              <w:rPr>
                <w:sz w:val="21"/>
              </w:rPr>
              <w:t>总体目标：到 </w:t>
            </w:r>
            <w:r>
              <w:rPr>
                <w:rFonts w:ascii="Times New Roman" w:eastAsia="Times New Roman"/>
                <w:sz w:val="21"/>
              </w:rPr>
              <w:t>2020 </w:t>
            </w:r>
            <w:r>
              <w:rPr>
                <w:sz w:val="21"/>
              </w:rPr>
              <w:t>年，基本形成节约高效、环境友好、矿地和谐的绿色矿业发展模式。</w:t>
            </w:r>
          </w:p>
        </w:tc>
        <w:tc>
          <w:tcPr>
            <w:tcW w:w="2704" w:type="dxa"/>
            <w:tcBorders>
              <w:left w:val="single" w:sz="4" w:space="0" w:color="000000"/>
              <w:bottom w:val="single" w:sz="4" w:space="0" w:color="000000"/>
              <w:right w:val="single" w:sz="4" w:space="0" w:color="000000"/>
            </w:tcBorders>
          </w:tcPr>
          <w:p>
            <w:pPr>
              <w:pStyle w:val="TableParagraph"/>
              <w:spacing w:line="280" w:lineRule="atLeast"/>
              <w:ind w:left="826" w:right="41" w:hanging="718"/>
              <w:rPr>
                <w:sz w:val="21"/>
              </w:rPr>
            </w:pPr>
            <w:r>
              <w:rPr>
                <w:sz w:val="21"/>
              </w:rPr>
              <w:t>项目为页岩矿开采项目，符合总体目标</w:t>
            </w:r>
          </w:p>
        </w:tc>
        <w:tc>
          <w:tcPr>
            <w:tcW w:w="956" w:type="dxa"/>
            <w:tcBorders>
              <w:left w:val="single" w:sz="4" w:space="0" w:color="000000"/>
              <w:bottom w:val="single" w:sz="4" w:space="0" w:color="000000"/>
              <w:right w:val="single" w:sz="4" w:space="0" w:color="000000"/>
            </w:tcBorders>
          </w:tcPr>
          <w:p>
            <w:pPr>
              <w:pStyle w:val="TableParagraph"/>
              <w:spacing w:before="151"/>
              <w:ind w:left="215"/>
              <w:rPr>
                <w:sz w:val="21"/>
              </w:rPr>
            </w:pPr>
            <w:r>
              <w:rPr>
                <w:sz w:val="21"/>
              </w:rPr>
              <w:t>符合</w:t>
            </w:r>
          </w:p>
        </w:tc>
      </w:tr>
      <w:tr>
        <w:trPr>
          <w:trHeight w:val="838" w:hRule="atLeast"/>
        </w:trPr>
        <w:tc>
          <w:tcPr>
            <w:tcW w:w="1553" w:type="dxa"/>
            <w:gridSpan w:val="2"/>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7" w:lineRule="auto" w:before="13"/>
              <w:ind w:left="109" w:right="23" w:hanging="3"/>
              <w:rPr>
                <w:sz w:val="21"/>
              </w:rPr>
            </w:pPr>
            <w:r>
              <w:rPr>
                <w:w w:val="95"/>
                <w:sz w:val="21"/>
              </w:rPr>
              <w:t>矿产资源开发调控方向：重点开发利用矿种： </w:t>
            </w:r>
            <w:r>
              <w:rPr>
                <w:spacing w:val="-9"/>
                <w:sz w:val="21"/>
              </w:rPr>
              <w:t>金、钼、银、铅锌、铜、水泥用石灰岩；限制</w:t>
            </w:r>
          </w:p>
          <w:p>
            <w:pPr>
              <w:pStyle w:val="TableParagraph"/>
              <w:spacing w:line="246" w:lineRule="exact" w:before="5"/>
              <w:ind w:left="106"/>
              <w:rPr>
                <w:sz w:val="21"/>
              </w:rPr>
            </w:pPr>
            <w:r>
              <w:rPr>
                <w:sz w:val="21"/>
              </w:rPr>
              <w:t>开采石煤；保护开采汞锑、重晶石、硫铁矿。</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2"/>
              <w:ind w:left="197" w:right="41" w:hanging="89"/>
              <w:rPr>
                <w:sz w:val="21"/>
              </w:rPr>
            </w:pPr>
            <w:r>
              <w:rPr>
                <w:sz w:val="21"/>
              </w:rPr>
              <w:t>项目为页岩矿开采项目，不属于限制开发利用矿种。</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2"/>
              </w:rPr>
            </w:pPr>
          </w:p>
          <w:p>
            <w:pPr>
              <w:pStyle w:val="TableParagraph"/>
              <w:ind w:left="215"/>
              <w:rPr>
                <w:sz w:val="21"/>
              </w:rPr>
            </w:pPr>
            <w:r>
              <w:rPr>
                <w:sz w:val="21"/>
              </w:rPr>
              <w:t>符合</w:t>
            </w:r>
          </w:p>
        </w:tc>
      </w:tr>
      <w:tr>
        <w:trPr>
          <w:trHeight w:val="2799" w:hRule="atLeast"/>
        </w:trPr>
        <w:tc>
          <w:tcPr>
            <w:tcW w:w="83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3"/>
              <w:rPr>
                <w:rFonts w:ascii="黑体"/>
                <w:sz w:val="15"/>
              </w:rPr>
            </w:pPr>
          </w:p>
          <w:p>
            <w:pPr>
              <w:pStyle w:val="TableParagraph"/>
              <w:spacing w:line="249" w:lineRule="auto" w:before="1"/>
              <w:ind w:left="214" w:right="98"/>
              <w:jc w:val="both"/>
              <w:rPr>
                <w:sz w:val="21"/>
              </w:rPr>
            </w:pPr>
            <w:r>
              <w:rPr>
                <w:spacing w:val="-13"/>
                <w:sz w:val="21"/>
              </w:rPr>
              <w:t>《 矿山 生态 环境 保护 与污 染防 治技 术</w:t>
            </w:r>
            <w:r>
              <w:rPr>
                <w:sz w:val="21"/>
              </w:rPr>
              <w:t>政</w:t>
            </w:r>
          </w:p>
          <w:p>
            <w:pPr>
              <w:pStyle w:val="TableParagraph"/>
              <w:spacing w:before="1"/>
              <w:ind w:left="214"/>
              <w:jc w:val="both"/>
              <w:rPr>
                <w:sz w:val="21"/>
              </w:rPr>
            </w:pPr>
            <w:r>
              <w:rPr>
                <w:spacing w:val="20"/>
                <w:sz w:val="21"/>
              </w:rPr>
              <w:t>策 》</w:t>
            </w:r>
          </w:p>
          <w:p>
            <w:pPr>
              <w:pStyle w:val="TableParagraph"/>
              <w:spacing w:line="256" w:lineRule="auto" w:before="9"/>
              <w:ind w:left="214" w:right="98"/>
              <w:rPr>
                <w:rFonts w:ascii="Times New Roman" w:eastAsia="Times New Roman"/>
                <w:sz w:val="21"/>
              </w:rPr>
            </w:pPr>
            <w:r>
              <w:rPr>
                <w:sz w:val="21"/>
              </w:rPr>
              <w:t>（</w:t>
            </w:r>
            <w:r>
              <w:rPr>
                <w:spacing w:val="-19"/>
                <w:sz w:val="21"/>
              </w:rPr>
              <w:t> 环</w:t>
            </w:r>
            <w:r>
              <w:rPr>
                <w:sz w:val="21"/>
              </w:rPr>
              <w:t>发</w:t>
            </w:r>
            <w:r>
              <w:rPr>
                <w:rFonts w:ascii="Times New Roman" w:eastAsia="Times New Roman"/>
                <w:sz w:val="21"/>
              </w:rPr>
              <w:t>[2005</w:t>
            </w:r>
          </w:p>
          <w:p>
            <w:pPr>
              <w:pStyle w:val="TableParagraph"/>
              <w:spacing w:before="20"/>
              <w:ind w:left="214"/>
              <w:rPr>
                <w:rFonts w:ascii="Times New Roman"/>
                <w:sz w:val="21"/>
              </w:rPr>
            </w:pPr>
            <w:r>
              <w:rPr>
                <w:rFonts w:ascii="Times New Roman"/>
                <w:sz w:val="21"/>
              </w:rPr>
              <w:t>]109</w:t>
            </w:r>
          </w:p>
          <w:p>
            <w:pPr>
              <w:pStyle w:val="TableParagraph"/>
              <w:spacing w:before="26"/>
              <w:ind w:left="214"/>
              <w:rPr>
                <w:sz w:val="21"/>
              </w:rPr>
            </w:pPr>
            <w:r>
              <w:rPr>
                <w:spacing w:val="-1"/>
                <w:w w:val="95"/>
                <w:sz w:val="21"/>
              </w:rPr>
              <w:t>号</w:t>
            </w:r>
            <w:r>
              <w:rPr>
                <w:w w:val="95"/>
                <w:sz w:val="21"/>
              </w:rPr>
              <w:t>）</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before="10"/>
              <w:rPr>
                <w:rFonts w:ascii="黑体"/>
                <w:sz w:val="24"/>
              </w:rPr>
            </w:pPr>
          </w:p>
          <w:p>
            <w:pPr>
              <w:pStyle w:val="TableParagraph"/>
              <w:spacing w:line="249" w:lineRule="auto"/>
              <w:ind w:left="107" w:right="97"/>
              <w:jc w:val="both"/>
              <w:rPr>
                <w:sz w:val="21"/>
              </w:rPr>
            </w:pPr>
            <w:r>
              <w:rPr>
                <w:spacing w:val="-13"/>
                <w:sz w:val="21"/>
              </w:rPr>
              <w:t>矿 产资 源开 发规 划与 设</w:t>
            </w:r>
            <w:r>
              <w:rPr>
                <w:sz w:val="21"/>
              </w:rPr>
              <w:t>计</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7" w:lineRule="auto" w:before="14"/>
              <w:ind w:left="106" w:right="97"/>
              <w:rPr>
                <w:sz w:val="21"/>
              </w:rPr>
            </w:pPr>
            <w:r>
              <w:rPr>
                <w:spacing w:val="-6"/>
                <w:w w:val="95"/>
                <w:sz w:val="21"/>
              </w:rPr>
              <w:t>①禁止在自然保护区、风景名胜区、地质灾害 </w:t>
            </w:r>
            <w:r>
              <w:rPr>
                <w:spacing w:val="-6"/>
                <w:sz w:val="21"/>
              </w:rPr>
              <w:t>危险区等区域内采矿。</w:t>
            </w:r>
          </w:p>
          <w:p>
            <w:pPr>
              <w:pStyle w:val="TableParagraph"/>
              <w:spacing w:line="249" w:lineRule="auto" w:before="5"/>
              <w:ind w:left="106" w:right="23"/>
              <w:rPr>
                <w:sz w:val="21"/>
              </w:rPr>
            </w:pPr>
            <w:r>
              <w:rPr>
                <w:w w:val="95"/>
                <w:sz w:val="21"/>
              </w:rPr>
              <w:t>②限制在生态功能保护区、地质灾害易发区、 </w:t>
            </w:r>
            <w:r>
              <w:rPr>
                <w:sz w:val="21"/>
              </w:rPr>
              <w:t>水土流失严重区域内采矿。</w:t>
            </w:r>
          </w:p>
          <w:p>
            <w:pPr>
              <w:pStyle w:val="TableParagraph"/>
              <w:spacing w:line="249" w:lineRule="auto"/>
              <w:ind w:left="106" w:right="97"/>
              <w:rPr>
                <w:sz w:val="21"/>
              </w:rPr>
            </w:pPr>
            <w:r>
              <w:rPr>
                <w:spacing w:val="-4"/>
                <w:w w:val="95"/>
                <w:sz w:val="21"/>
              </w:rPr>
              <w:t>③矿产资源开发应符合国家产业政策要求，符 </w:t>
            </w:r>
            <w:r>
              <w:rPr>
                <w:spacing w:val="-4"/>
                <w:sz w:val="21"/>
              </w:rPr>
              <w:t>合区域发展规划要求。</w:t>
            </w:r>
          </w:p>
          <w:p>
            <w:pPr>
              <w:pStyle w:val="TableParagraph"/>
              <w:spacing w:line="247" w:lineRule="auto" w:before="2"/>
              <w:ind w:left="106" w:right="97"/>
              <w:rPr>
                <w:sz w:val="21"/>
              </w:rPr>
            </w:pPr>
            <w:r>
              <w:rPr>
                <w:spacing w:val="-9"/>
                <w:w w:val="95"/>
                <w:sz w:val="21"/>
              </w:rPr>
              <w:t>④禁止在铁路、国道、省道两侧的直观可视范 </w:t>
            </w:r>
            <w:r>
              <w:rPr>
                <w:spacing w:val="-9"/>
                <w:sz w:val="21"/>
              </w:rPr>
              <w:t>围内进行露天开采。</w:t>
            </w:r>
          </w:p>
          <w:p>
            <w:pPr>
              <w:pStyle w:val="TableParagraph"/>
              <w:spacing w:before="5"/>
              <w:ind w:left="106"/>
              <w:rPr>
                <w:sz w:val="21"/>
              </w:rPr>
            </w:pPr>
            <w:r>
              <w:rPr>
                <w:sz w:val="21"/>
              </w:rPr>
              <w:t>⑤禁止新建对生态环境产生不可恢复利用的、</w:t>
            </w:r>
          </w:p>
          <w:p>
            <w:pPr>
              <w:pStyle w:val="TableParagraph"/>
              <w:spacing w:line="245" w:lineRule="exact" w:before="11"/>
              <w:ind w:left="106"/>
              <w:rPr>
                <w:sz w:val="21"/>
              </w:rPr>
            </w:pPr>
            <w:r>
              <w:rPr>
                <w:sz w:val="21"/>
              </w:rPr>
              <w:t>产生破坏性影响的矿产资源开发项目。</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4"/>
              <w:ind w:left="108" w:right="96"/>
              <w:rPr>
                <w:sz w:val="21"/>
              </w:rPr>
            </w:pPr>
            <w:r>
              <w:rPr>
                <w:sz w:val="21"/>
              </w:rPr>
              <w:t>①矿区所在区域不属于自</w:t>
            </w:r>
            <w:r>
              <w:rPr>
                <w:spacing w:val="-6"/>
                <w:sz w:val="21"/>
              </w:rPr>
              <w:t>然保护区、风景名胜区、森</w:t>
            </w:r>
            <w:r>
              <w:rPr>
                <w:spacing w:val="-6"/>
                <w:w w:val="95"/>
                <w:sz w:val="21"/>
              </w:rPr>
              <w:t>林公园、水源保护区、地质</w:t>
            </w:r>
            <w:r>
              <w:rPr>
                <w:spacing w:val="-8"/>
                <w:w w:val="95"/>
                <w:sz w:val="21"/>
              </w:rPr>
              <w:t>灾害危险区、水土流失严重</w:t>
            </w:r>
            <w:r>
              <w:rPr>
                <w:spacing w:val="-8"/>
                <w:sz w:val="21"/>
              </w:rPr>
              <w:t>区域等。</w:t>
            </w:r>
          </w:p>
          <w:p>
            <w:pPr>
              <w:pStyle w:val="TableParagraph"/>
              <w:spacing w:line="249" w:lineRule="auto"/>
              <w:ind w:left="108" w:right="65"/>
              <w:rPr>
                <w:sz w:val="21"/>
              </w:rPr>
            </w:pPr>
            <w:r>
              <w:rPr>
                <w:spacing w:val="-1"/>
                <w:sz w:val="21"/>
              </w:rPr>
              <w:t>②项目符合国家产业政策， </w:t>
            </w:r>
            <w:r>
              <w:rPr>
                <w:spacing w:val="-1"/>
                <w:w w:val="95"/>
                <w:sz w:val="21"/>
              </w:rPr>
              <w:t>符合安康市矿产资源规划。</w:t>
            </w:r>
          </w:p>
          <w:p>
            <w:pPr>
              <w:pStyle w:val="TableParagraph"/>
              <w:spacing w:line="247" w:lineRule="auto" w:before="2"/>
              <w:ind w:left="108" w:right="65"/>
              <w:rPr>
                <w:sz w:val="21"/>
              </w:rPr>
            </w:pPr>
            <w:r>
              <w:rPr>
                <w:spacing w:val="-3"/>
                <w:sz w:val="21"/>
              </w:rPr>
              <w:t>③开采作业面不在铁路、国</w:t>
            </w:r>
            <w:r>
              <w:rPr>
                <w:spacing w:val="-4"/>
                <w:w w:val="95"/>
                <w:sz w:val="21"/>
              </w:rPr>
              <w:t>道、省道两侧可视范围内。</w:t>
            </w:r>
          </w:p>
        </w:tc>
        <w:tc>
          <w:tcPr>
            <w:tcW w:w="95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8"/>
              </w:rPr>
            </w:pPr>
          </w:p>
          <w:p>
            <w:pPr>
              <w:pStyle w:val="TableParagraph"/>
              <w:spacing w:before="1"/>
              <w:ind w:left="215"/>
              <w:rPr>
                <w:sz w:val="21"/>
              </w:rPr>
            </w:pPr>
            <w:r>
              <w:rPr>
                <w:sz w:val="21"/>
              </w:rPr>
              <w:t>符合</w:t>
            </w:r>
          </w:p>
        </w:tc>
      </w:tr>
      <w:tr>
        <w:trPr>
          <w:trHeight w:val="1400" w:hRule="atLeast"/>
        </w:trPr>
        <w:tc>
          <w:tcPr>
            <w:tcW w:w="830" w:type="dxa"/>
            <w:vMerge/>
            <w:tcBorders>
              <w:top w:val="nil"/>
              <w:left w:val="single" w:sz="4" w:space="0" w:color="000000"/>
              <w:bottom w:val="single" w:sz="4" w:space="0" w:color="000000"/>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line="247" w:lineRule="auto" w:before="178"/>
              <w:ind w:left="150" w:right="142"/>
              <w:rPr>
                <w:sz w:val="21"/>
              </w:rPr>
            </w:pPr>
            <w:r>
              <w:rPr>
                <w:sz w:val="21"/>
              </w:rPr>
              <w:t>矿山基建</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4"/>
              <w:ind w:left="106" w:right="234"/>
              <w:rPr>
                <w:sz w:val="21"/>
              </w:rPr>
            </w:pPr>
            <w:r>
              <w:rPr>
                <w:w w:val="95"/>
                <w:sz w:val="21"/>
              </w:rPr>
              <w:t>①对矿山基建产生的表土、底土等应分类堆</w:t>
            </w:r>
            <w:r>
              <w:rPr>
                <w:sz w:val="21"/>
              </w:rPr>
              <w:t>放、分类管理和充分利用。</w:t>
            </w:r>
          </w:p>
          <w:p>
            <w:pPr>
              <w:pStyle w:val="TableParagraph"/>
              <w:spacing w:line="249" w:lineRule="auto"/>
              <w:ind w:left="106" w:right="97"/>
              <w:rPr>
                <w:sz w:val="21"/>
              </w:rPr>
            </w:pPr>
            <w:r>
              <w:rPr>
                <w:spacing w:val="-5"/>
                <w:w w:val="95"/>
                <w:sz w:val="21"/>
              </w:rPr>
              <w:t>②矿山基建应尽量少占用农田和耕地，临时性 </w:t>
            </w:r>
            <w:r>
              <w:rPr>
                <w:spacing w:val="-5"/>
                <w:sz w:val="21"/>
              </w:rPr>
              <w:t>占地应及时恢复。</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
              <w:ind w:left="108" w:right="96"/>
              <w:jc w:val="both"/>
              <w:rPr>
                <w:sz w:val="21"/>
              </w:rPr>
            </w:pPr>
            <w:r>
              <w:rPr>
                <w:spacing w:val="-4"/>
                <w:sz w:val="21"/>
              </w:rPr>
              <w:t>①项目在施工时对表土、底</w:t>
            </w:r>
            <w:r>
              <w:rPr>
                <w:spacing w:val="14"/>
                <w:sz w:val="21"/>
              </w:rPr>
              <w:t>土等适宜植物生长的地层</w:t>
            </w:r>
            <w:r>
              <w:rPr>
                <w:spacing w:val="-4"/>
                <w:w w:val="95"/>
                <w:sz w:val="21"/>
              </w:rPr>
              <w:t>物质进行保护性堆存，用于</w:t>
            </w:r>
            <w:r>
              <w:rPr>
                <w:spacing w:val="-4"/>
                <w:sz w:val="21"/>
              </w:rPr>
              <w:t>复垦时的土壤重构用土。</w:t>
            </w:r>
          </w:p>
          <w:p>
            <w:pPr>
              <w:pStyle w:val="TableParagraph"/>
              <w:spacing w:line="246" w:lineRule="exact"/>
              <w:ind w:left="108"/>
              <w:rPr>
                <w:sz w:val="21"/>
              </w:rPr>
            </w:pPr>
            <w:r>
              <w:rPr>
                <w:sz w:val="21"/>
              </w:rPr>
              <w:t>②项目不占用农田和耕地。</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840" w:hRule="atLeast"/>
        </w:trPr>
        <w:tc>
          <w:tcPr>
            <w:tcW w:w="830" w:type="dxa"/>
            <w:vMerge/>
            <w:tcBorders>
              <w:top w:val="nil"/>
              <w:left w:val="single" w:sz="4" w:space="0" w:color="000000"/>
              <w:bottom w:val="single" w:sz="4" w:space="0" w:color="000000"/>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before="13"/>
              <w:ind w:left="107"/>
              <w:rPr>
                <w:sz w:val="21"/>
              </w:rPr>
            </w:pPr>
            <w:r>
              <w:rPr>
                <w:sz w:val="21"/>
              </w:rPr>
              <w:t>采矿</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before="13"/>
              <w:ind w:left="106"/>
              <w:rPr>
                <w:sz w:val="21"/>
              </w:rPr>
            </w:pPr>
            <w:r>
              <w:rPr>
                <w:sz w:val="21"/>
              </w:rPr>
              <w:t>鼓励将矿坑水优先利用生产用水。宜采用安装</w:t>
            </w:r>
          </w:p>
          <w:p>
            <w:pPr>
              <w:pStyle w:val="TableParagraph"/>
              <w:spacing w:line="280" w:lineRule="atLeast" w:before="1"/>
              <w:ind w:left="106" w:right="21"/>
              <w:rPr>
                <w:sz w:val="21"/>
              </w:rPr>
            </w:pPr>
            <w:r>
              <w:rPr>
                <w:w w:val="95"/>
                <w:sz w:val="21"/>
              </w:rPr>
              <w:t>除尘装置、湿式作业、个体防护等措施，防治</w:t>
            </w:r>
            <w:r>
              <w:rPr>
                <w:sz w:val="21"/>
              </w:rPr>
              <w:t>粉尘污染。</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before="13"/>
              <w:ind w:left="108"/>
              <w:rPr>
                <w:sz w:val="21"/>
              </w:rPr>
            </w:pPr>
            <w:r>
              <w:rPr>
                <w:sz w:val="21"/>
              </w:rPr>
              <w:t>项目在生产过程中进行洒</w:t>
            </w:r>
          </w:p>
          <w:p>
            <w:pPr>
              <w:pStyle w:val="TableParagraph"/>
              <w:spacing w:line="280" w:lineRule="atLeast" w:before="1"/>
              <w:ind w:left="108" w:right="42"/>
              <w:rPr>
                <w:sz w:val="21"/>
              </w:rPr>
            </w:pPr>
            <w:r>
              <w:rPr>
                <w:sz w:val="21"/>
              </w:rPr>
              <w:t>水抑尘和个体防护等，防止了粉尘污染。</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3077" w:hRule="atLeast"/>
        </w:trPr>
        <w:tc>
          <w:tcPr>
            <w:tcW w:w="830" w:type="dxa"/>
            <w:vMerge/>
            <w:tcBorders>
              <w:top w:val="nil"/>
              <w:left w:val="single" w:sz="4" w:space="0" w:color="000000"/>
              <w:bottom w:val="single" w:sz="4" w:space="0" w:color="000000"/>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0"/>
              <w:ind w:left="107" w:right="185"/>
              <w:jc w:val="both"/>
              <w:rPr>
                <w:sz w:val="21"/>
              </w:rPr>
            </w:pPr>
            <w:r>
              <w:rPr>
                <w:sz w:val="21"/>
              </w:rPr>
              <w:t>废弃地复垦</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2"/>
              </w:rPr>
            </w:pPr>
          </w:p>
          <w:p>
            <w:pPr>
              <w:pStyle w:val="TableParagraph"/>
              <w:spacing w:line="249" w:lineRule="auto"/>
              <w:ind w:left="106" w:right="234"/>
              <w:rPr>
                <w:sz w:val="21"/>
              </w:rPr>
            </w:pPr>
            <w:r>
              <w:rPr>
                <w:w w:val="95"/>
                <w:sz w:val="21"/>
              </w:rPr>
              <w:t>①矿山开采企业应将废弃地复垦纳入矿山日</w:t>
            </w:r>
            <w:r>
              <w:rPr>
                <w:sz w:val="21"/>
              </w:rPr>
              <w:t>常生产与管理。</w:t>
            </w:r>
          </w:p>
          <w:p>
            <w:pPr>
              <w:pStyle w:val="TableParagraph"/>
              <w:spacing w:line="249" w:lineRule="auto"/>
              <w:ind w:left="106" w:right="23"/>
              <w:rPr>
                <w:sz w:val="21"/>
              </w:rPr>
            </w:pPr>
            <w:r>
              <w:rPr>
                <w:sz w:val="21"/>
              </w:rPr>
              <w:t>②矿山生产过程中硬采取种植植物和覆盖等 </w:t>
            </w:r>
            <w:r>
              <w:rPr>
                <w:w w:val="95"/>
                <w:sz w:val="21"/>
              </w:rPr>
              <w:t>复垦措施，对排土场等坡面进行稳定化处理。</w:t>
            </w:r>
          </w:p>
          <w:p>
            <w:pPr>
              <w:pStyle w:val="TableParagraph"/>
              <w:spacing w:line="249" w:lineRule="auto" w:before="1"/>
              <w:ind w:left="106" w:right="23"/>
              <w:rPr>
                <w:sz w:val="21"/>
              </w:rPr>
            </w:pPr>
            <w:r>
              <w:rPr>
                <w:w w:val="95"/>
                <w:sz w:val="21"/>
              </w:rPr>
              <w:t>③采用生物工程进行复垦时，宜对土壤重构、 </w:t>
            </w:r>
            <w:r>
              <w:rPr>
                <w:spacing w:val="-8"/>
                <w:sz w:val="21"/>
              </w:rPr>
              <w:t>地形、景观进行优化设计，度物种选择、配置及种植方式优化。</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0"/>
              <w:ind w:left="108" w:right="96"/>
              <w:rPr>
                <w:sz w:val="21"/>
              </w:rPr>
            </w:pPr>
            <w:r>
              <w:rPr>
                <w:sz w:val="21"/>
              </w:rPr>
              <w:t>①项目将复垦纳入日常生</w:t>
            </w:r>
            <w:r>
              <w:rPr>
                <w:spacing w:val="-13"/>
                <w:sz w:val="21"/>
              </w:rPr>
              <w:t>产与管理，采用采矿</w:t>
            </w:r>
            <w:r>
              <w:rPr>
                <w:rFonts w:ascii="Times New Roman" w:hAnsi="Times New Roman" w:eastAsia="Times New Roman"/>
                <w:sz w:val="21"/>
              </w:rPr>
              <w:t>-</w:t>
            </w:r>
            <w:r>
              <w:rPr>
                <w:spacing w:val="-4"/>
                <w:sz w:val="21"/>
              </w:rPr>
              <w:t>复垦一</w:t>
            </w:r>
            <w:r>
              <w:rPr>
                <w:sz w:val="21"/>
              </w:rPr>
              <w:t>体化。</w:t>
            </w:r>
          </w:p>
          <w:p>
            <w:pPr>
              <w:pStyle w:val="TableParagraph"/>
              <w:spacing w:line="249" w:lineRule="auto" w:before="1"/>
              <w:ind w:left="108" w:right="99"/>
              <w:rPr>
                <w:sz w:val="21"/>
              </w:rPr>
            </w:pPr>
            <w:r>
              <w:rPr>
                <w:sz w:val="21"/>
              </w:rPr>
              <w:t>②对生产过程的坡面采取稳定化措施防止水土流失</w:t>
            </w:r>
            <w:r>
              <w:rPr>
                <w:spacing w:val="-7"/>
                <w:sz w:val="21"/>
              </w:rPr>
              <w:t>和滑坡，服务期满后及时复</w:t>
            </w:r>
            <w:r>
              <w:rPr>
                <w:sz w:val="21"/>
              </w:rPr>
              <w:t>垦。</w:t>
            </w:r>
          </w:p>
          <w:p>
            <w:pPr>
              <w:pStyle w:val="TableParagraph"/>
              <w:spacing w:line="249" w:lineRule="auto" w:before="1"/>
              <w:ind w:left="108" w:right="96"/>
              <w:jc w:val="both"/>
              <w:rPr>
                <w:sz w:val="21"/>
              </w:rPr>
            </w:pPr>
            <w:r>
              <w:rPr>
                <w:spacing w:val="13"/>
                <w:sz w:val="21"/>
              </w:rPr>
              <w:t>③本项目生产过程及服务</w:t>
            </w:r>
            <w:r>
              <w:rPr>
                <w:spacing w:val="-7"/>
                <w:sz w:val="21"/>
              </w:rPr>
              <w:t>期满后，因地制宜的进行景</w:t>
            </w:r>
            <w:r>
              <w:rPr>
                <w:spacing w:val="-6"/>
                <w:w w:val="95"/>
                <w:sz w:val="21"/>
              </w:rPr>
              <w:t>观设计，采取不同的适宜物</w:t>
            </w:r>
          </w:p>
          <w:p>
            <w:pPr>
              <w:pStyle w:val="TableParagraph"/>
              <w:spacing w:line="246" w:lineRule="exact" w:before="1"/>
              <w:ind w:left="108"/>
              <w:rPr>
                <w:sz w:val="21"/>
              </w:rPr>
            </w:pPr>
            <w:r>
              <w:rPr>
                <w:sz w:val="21"/>
              </w:rPr>
              <w:t>种进行植被绿化。</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2412" w:hRule="atLeast"/>
        </w:trPr>
        <w:tc>
          <w:tcPr>
            <w:tcW w:w="1553"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2"/>
              </w:rPr>
            </w:pPr>
          </w:p>
          <w:p>
            <w:pPr>
              <w:pStyle w:val="TableParagraph"/>
              <w:spacing w:before="9"/>
              <w:rPr>
                <w:rFonts w:ascii="黑体"/>
                <w:sz w:val="31"/>
              </w:rPr>
            </w:pPr>
          </w:p>
          <w:p>
            <w:pPr>
              <w:pStyle w:val="TableParagraph"/>
              <w:spacing w:line="249" w:lineRule="auto" w:before="1"/>
              <w:ind w:left="214" w:right="95"/>
              <w:jc w:val="both"/>
              <w:rPr>
                <w:rFonts w:ascii="Times New Roman" w:eastAsia="Times New Roman"/>
                <w:sz w:val="21"/>
              </w:rPr>
            </w:pPr>
            <w:r>
              <w:rPr>
                <w:spacing w:val="9"/>
                <w:sz w:val="21"/>
              </w:rPr>
              <w:t>《 陕西省人</w:t>
            </w:r>
            <w:r>
              <w:rPr>
                <w:spacing w:val="33"/>
                <w:sz w:val="21"/>
              </w:rPr>
              <w:t>民政府关于印发省矿产资源开发保发展治粗放保安全治隐患保生态治污染行动计</w:t>
            </w:r>
            <w:r>
              <w:rPr>
                <w:spacing w:val="-99"/>
                <w:sz w:val="21"/>
              </w:rPr>
              <w:t>划</w:t>
            </w:r>
            <w:r>
              <w:rPr>
                <w:spacing w:val="-2"/>
                <w:sz w:val="21"/>
              </w:rPr>
              <w:t>（</w:t>
            </w:r>
            <w:r>
              <w:rPr>
                <w:rFonts w:ascii="Times New Roman" w:eastAsia="Times New Roman"/>
                <w:spacing w:val="-2"/>
                <w:sz w:val="21"/>
              </w:rPr>
              <w:t>2016-2020</w:t>
            </w:r>
          </w:p>
          <w:p>
            <w:pPr>
              <w:pStyle w:val="TableParagraph"/>
              <w:spacing w:before="1"/>
              <w:ind w:left="214"/>
              <w:rPr>
                <w:sz w:val="21"/>
              </w:rPr>
            </w:pPr>
            <w:r>
              <w:rPr>
                <w:w w:val="95"/>
                <w:sz w:val="21"/>
              </w:rPr>
              <w:t>年）的通知》</w:t>
            </w:r>
          </w:p>
          <w:p>
            <w:pPr>
              <w:pStyle w:val="TableParagraph"/>
              <w:spacing w:before="10"/>
              <w:ind w:left="214"/>
              <w:rPr>
                <w:sz w:val="21"/>
              </w:rPr>
            </w:pPr>
            <w:r>
              <w:rPr>
                <w:sz w:val="21"/>
              </w:rPr>
              <w:t>（</w:t>
            </w:r>
            <w:r>
              <w:rPr>
                <w:spacing w:val="11"/>
                <w:sz w:val="21"/>
              </w:rPr>
              <w:t> 陕 政 发</w:t>
            </w:r>
          </w:p>
          <w:p>
            <w:pPr>
              <w:pStyle w:val="TableParagraph"/>
              <w:spacing w:before="11"/>
              <w:ind w:left="214" w:right="-15"/>
              <w:rPr>
                <w:sz w:val="21"/>
              </w:rPr>
            </w:pPr>
            <w:r>
              <w:rPr>
                <w:sz w:val="21"/>
              </w:rPr>
              <w:t>〔</w:t>
            </w:r>
            <w:r>
              <w:rPr>
                <w:rFonts w:ascii="Times New Roman" w:eastAsia="Times New Roman"/>
                <w:sz w:val="21"/>
              </w:rPr>
              <w:t>2016</w:t>
            </w:r>
            <w:r>
              <w:rPr>
                <w:spacing w:val="-85"/>
                <w:sz w:val="21"/>
              </w:rPr>
              <w:t>〕</w:t>
            </w:r>
            <w:r>
              <w:rPr>
                <w:rFonts w:ascii="Times New Roman" w:eastAsia="Times New Roman"/>
                <w:sz w:val="21"/>
              </w:rPr>
              <w:t>5</w:t>
            </w:r>
            <w:r>
              <w:rPr>
                <w:rFonts w:ascii="Times New Roman" w:eastAsia="Times New Roman"/>
                <w:spacing w:val="-1"/>
                <w:sz w:val="21"/>
              </w:rPr>
              <w:t> </w:t>
            </w:r>
            <w:r>
              <w:rPr>
                <w:sz w:val="21"/>
              </w:rPr>
              <w:t>号）</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18"/>
              </w:rPr>
            </w:pPr>
          </w:p>
          <w:p>
            <w:pPr>
              <w:pStyle w:val="TableParagraph"/>
              <w:spacing w:line="249" w:lineRule="auto"/>
              <w:ind w:left="106" w:right="-15"/>
              <w:rPr>
                <w:rFonts w:ascii="Times New Roman" w:hAnsi="Times New Roman" w:eastAsia="Times New Roman"/>
                <w:sz w:val="21"/>
              </w:rPr>
            </w:pPr>
            <w:r>
              <w:rPr>
                <w:rFonts w:ascii="Times New Roman" w:hAnsi="Times New Roman" w:eastAsia="Times New Roman"/>
                <w:spacing w:val="-10"/>
                <w:sz w:val="21"/>
              </w:rPr>
              <w:t>“</w:t>
            </w:r>
            <w:r>
              <w:rPr>
                <w:spacing w:val="-10"/>
                <w:sz w:val="21"/>
              </w:rPr>
              <w:t>（</w:t>
            </w:r>
            <w:r>
              <w:rPr>
                <w:sz w:val="21"/>
              </w:rPr>
              <w:t>五</w:t>
            </w:r>
            <w:r>
              <w:rPr>
                <w:spacing w:val="-20"/>
                <w:sz w:val="21"/>
              </w:rPr>
              <w:t>）</w:t>
            </w:r>
            <w:r>
              <w:rPr>
                <w:spacing w:val="-2"/>
                <w:sz w:val="21"/>
              </w:rPr>
              <w:t>生态环境影响大幅降低。自然保护区、</w:t>
            </w:r>
            <w:r>
              <w:rPr>
                <w:spacing w:val="-9"/>
                <w:sz w:val="21"/>
              </w:rPr>
              <w:t>森林公园、沙化土地封禁区、水源保护区、居</w:t>
            </w:r>
            <w:r>
              <w:rPr>
                <w:spacing w:val="-14"/>
                <w:sz w:val="21"/>
              </w:rPr>
              <w:t>民集中生活区和重要交通干线、河流湖泊直观</w:t>
            </w:r>
            <w:r>
              <w:rPr>
                <w:spacing w:val="-16"/>
                <w:sz w:val="21"/>
              </w:rPr>
              <w:t>可视范围内矿山逐步依法退出。矿山生态环境</w:t>
            </w:r>
            <w:r>
              <w:rPr>
                <w:spacing w:val="-2"/>
                <w:sz w:val="21"/>
              </w:rPr>
              <w:t>恢复治理率达到 </w:t>
            </w:r>
            <w:r>
              <w:rPr>
                <w:rFonts w:ascii="Times New Roman" w:hAnsi="Times New Roman" w:eastAsia="Times New Roman"/>
                <w:spacing w:val="3"/>
                <w:sz w:val="21"/>
              </w:rPr>
              <w:t>80%</w:t>
            </w:r>
            <w:r>
              <w:rPr>
                <w:spacing w:val="5"/>
                <w:sz w:val="21"/>
              </w:rPr>
              <w:t>；尾矿、废渣利用率达</w:t>
            </w:r>
            <w:r>
              <w:rPr>
                <w:rFonts w:ascii="Times New Roman" w:hAnsi="Times New Roman" w:eastAsia="Times New Roman"/>
                <w:spacing w:val="5"/>
                <w:sz w:val="21"/>
              </w:rPr>
              <w:t>60%</w:t>
            </w:r>
            <w:r>
              <w:rPr>
                <w:spacing w:val="-4"/>
                <w:sz w:val="21"/>
              </w:rPr>
              <w:t>以上，矿山废水、废气、粉尘排放全面达标，矿山人为重金属污染基本根治。</w:t>
            </w:r>
            <w:r>
              <w:rPr>
                <w:rFonts w:ascii="Times New Roman" w:hAnsi="Times New Roman" w:eastAsia="Times New Roman"/>
                <w:spacing w:val="-4"/>
                <w:sz w:val="21"/>
              </w:rPr>
              <w:t>”</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9"/>
              </w:rPr>
            </w:pPr>
          </w:p>
          <w:p>
            <w:pPr>
              <w:pStyle w:val="TableParagraph"/>
              <w:spacing w:line="249" w:lineRule="auto" w:before="1"/>
              <w:ind w:left="108" w:right="65"/>
              <w:rPr>
                <w:sz w:val="21"/>
              </w:rPr>
            </w:pPr>
            <w:r>
              <w:rPr>
                <w:sz w:val="21"/>
              </w:rPr>
              <w:t>项目矿山生态环境恢复治 理率</w:t>
            </w:r>
            <w:r>
              <w:rPr>
                <w:rFonts w:ascii="Times New Roman" w:hAnsi="Times New Roman" w:eastAsia="Times New Roman"/>
                <w:sz w:val="21"/>
              </w:rPr>
              <w:t>≥80%</w:t>
            </w:r>
            <w:r>
              <w:rPr>
                <w:sz w:val="21"/>
              </w:rPr>
              <w:t>；表土部分用于</w:t>
            </w:r>
            <w:r>
              <w:rPr>
                <w:spacing w:val="-4"/>
                <w:sz w:val="21"/>
              </w:rPr>
              <w:t>矿区生态恢复治理，剩余的</w:t>
            </w:r>
            <w:r>
              <w:rPr>
                <w:spacing w:val="-7"/>
                <w:sz w:val="21"/>
              </w:rPr>
              <w:t>封场后植树种草绿化，矿山</w:t>
            </w:r>
            <w:r>
              <w:rPr>
                <w:spacing w:val="-8"/>
                <w:sz w:val="21"/>
              </w:rPr>
              <w:t>废水、废气、粉尘排放全面</w:t>
            </w:r>
            <w:r>
              <w:rPr>
                <w:spacing w:val="-9"/>
                <w:sz w:val="21"/>
              </w:rPr>
              <w:t>达标，矿山不产生重金属。</w:t>
            </w:r>
          </w:p>
        </w:tc>
        <w:tc>
          <w:tcPr>
            <w:tcW w:w="95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77"/>
              <w:ind w:left="215"/>
              <w:rPr>
                <w:sz w:val="21"/>
              </w:rPr>
            </w:pPr>
            <w:r>
              <w:rPr>
                <w:sz w:val="21"/>
              </w:rPr>
              <w:t>符合</w:t>
            </w:r>
          </w:p>
        </w:tc>
      </w:tr>
      <w:tr>
        <w:trPr>
          <w:trHeight w:val="2282" w:hRule="atLeast"/>
        </w:trPr>
        <w:tc>
          <w:tcPr>
            <w:tcW w:w="1553" w:type="dxa"/>
            <w:gridSpan w:val="2"/>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2"/>
              </w:rPr>
            </w:pPr>
          </w:p>
          <w:p>
            <w:pPr>
              <w:pStyle w:val="TableParagraph"/>
              <w:spacing w:line="249" w:lineRule="auto" w:before="175"/>
              <w:ind w:left="106" w:right="95"/>
              <w:jc w:val="both"/>
              <w:rPr>
                <w:rFonts w:ascii="Times New Roman" w:hAnsi="Times New Roman" w:eastAsia="Times New Roman"/>
                <w:sz w:val="21"/>
              </w:rPr>
            </w:pPr>
            <w:r>
              <w:rPr>
                <w:rFonts w:ascii="Times New Roman" w:hAnsi="Times New Roman" w:eastAsia="Times New Roman"/>
                <w:spacing w:val="3"/>
                <w:sz w:val="21"/>
              </w:rPr>
              <w:t>“</w:t>
            </w:r>
            <w:r>
              <w:rPr>
                <w:sz w:val="21"/>
              </w:rPr>
              <w:t>严禁在国家自然保护区、森林公园、沙化土</w:t>
            </w:r>
            <w:r>
              <w:rPr>
                <w:spacing w:val="-9"/>
                <w:w w:val="95"/>
                <w:sz w:val="21"/>
              </w:rPr>
              <w:t>地封禁区、地质公园、重要湿地、水源保护地 </w:t>
            </w:r>
            <w:r>
              <w:rPr>
                <w:spacing w:val="6"/>
                <w:w w:val="95"/>
                <w:sz w:val="21"/>
              </w:rPr>
              <w:t>等重要生态区域一定范围内新设探矿权和采 </w:t>
            </w:r>
            <w:r>
              <w:rPr>
                <w:spacing w:val="-8"/>
                <w:w w:val="95"/>
                <w:sz w:val="21"/>
              </w:rPr>
              <w:t>矿权，对已有的矿业权，区分不同情况，依法 </w:t>
            </w:r>
            <w:r>
              <w:rPr>
                <w:spacing w:val="-8"/>
                <w:sz w:val="21"/>
              </w:rPr>
              <w:t>限期退出或调整</w:t>
            </w:r>
            <w:r>
              <w:rPr>
                <w:rFonts w:ascii="Times New Roman" w:hAnsi="Times New Roman" w:eastAsia="Times New Roman"/>
                <w:spacing w:val="-8"/>
                <w:sz w:val="21"/>
              </w:rPr>
              <w:t>”</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before="8"/>
              <w:rPr>
                <w:rFonts w:ascii="黑体"/>
                <w:sz w:val="15"/>
              </w:rPr>
            </w:pPr>
          </w:p>
          <w:p>
            <w:pPr>
              <w:pStyle w:val="TableParagraph"/>
              <w:spacing w:line="249" w:lineRule="auto"/>
              <w:ind w:left="108" w:right="65"/>
              <w:rPr>
                <w:sz w:val="21"/>
              </w:rPr>
            </w:pPr>
            <w:r>
              <w:rPr>
                <w:spacing w:val="-1"/>
                <w:sz w:val="21"/>
              </w:rPr>
              <w:t>项目不在国家自然保护区、</w:t>
            </w:r>
            <w:r>
              <w:rPr>
                <w:sz w:val="21"/>
              </w:rPr>
              <w:t>森林公园、沙化土地封禁 </w:t>
            </w:r>
            <w:r>
              <w:rPr>
                <w:spacing w:val="-1"/>
                <w:sz w:val="21"/>
              </w:rPr>
              <w:t>区、地质公园、重要湿地、</w:t>
            </w:r>
            <w:r>
              <w:rPr>
                <w:sz w:val="21"/>
              </w:rPr>
              <w:t>水源保护地等重要生态区 域一定范围内。</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1400" w:hRule="atLeast"/>
        </w:trPr>
        <w:tc>
          <w:tcPr>
            <w:tcW w:w="1553"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4342" w:type="dxa"/>
            <w:tcBorders>
              <w:left w:val="single" w:sz="4" w:space="0" w:color="000000"/>
              <w:bottom w:val="single" w:sz="4" w:space="0" w:color="000000"/>
              <w:right w:val="single" w:sz="4" w:space="0" w:color="000000"/>
            </w:tcBorders>
          </w:tcPr>
          <w:p>
            <w:pPr>
              <w:pStyle w:val="TableParagraph"/>
              <w:spacing w:line="249" w:lineRule="auto" w:before="14"/>
              <w:ind w:left="106" w:right="95"/>
              <w:jc w:val="both"/>
              <w:rPr>
                <w:sz w:val="21"/>
              </w:rPr>
            </w:pPr>
            <w:r>
              <w:rPr>
                <w:rFonts w:ascii="Times New Roman" w:hAnsi="Times New Roman" w:eastAsia="Times New Roman"/>
                <w:w w:val="95"/>
                <w:sz w:val="21"/>
              </w:rPr>
              <w:t>“</w:t>
            </w:r>
            <w:r>
              <w:rPr>
                <w:w w:val="95"/>
                <w:sz w:val="21"/>
              </w:rPr>
              <w:t>落实矿山企业</w:t>
            </w:r>
            <w:r>
              <w:rPr>
                <w:rFonts w:ascii="Times New Roman" w:hAnsi="Times New Roman" w:eastAsia="Times New Roman"/>
                <w:w w:val="95"/>
                <w:sz w:val="21"/>
              </w:rPr>
              <w:t>“</w:t>
            </w:r>
            <w:r>
              <w:rPr>
                <w:w w:val="95"/>
                <w:sz w:val="21"/>
              </w:rPr>
              <w:t>边开采边治理</w:t>
            </w:r>
            <w:r>
              <w:rPr>
                <w:rFonts w:ascii="Times New Roman" w:hAnsi="Times New Roman" w:eastAsia="Times New Roman"/>
                <w:w w:val="95"/>
                <w:sz w:val="21"/>
              </w:rPr>
              <w:t>”“</w:t>
            </w:r>
            <w:r>
              <w:rPr>
                <w:spacing w:val="-5"/>
                <w:w w:val="95"/>
                <w:sz w:val="21"/>
              </w:rPr>
              <w:t>谁破坏、谁治</w:t>
            </w:r>
            <w:r>
              <w:rPr>
                <w:spacing w:val="4"/>
                <w:sz w:val="21"/>
              </w:rPr>
              <w:t>理</w:t>
            </w:r>
            <w:r>
              <w:rPr>
                <w:rFonts w:ascii="Times New Roman" w:hAnsi="Times New Roman" w:eastAsia="Times New Roman"/>
                <w:sz w:val="21"/>
              </w:rPr>
              <w:t>”</w:t>
            </w:r>
            <w:r>
              <w:rPr>
                <w:sz w:val="21"/>
              </w:rPr>
              <w:t>的主体责任，严格执行矿山建设与地质环境保护和恢复治理工程</w:t>
            </w:r>
            <w:r>
              <w:rPr>
                <w:rFonts w:ascii="Times New Roman" w:hAnsi="Times New Roman" w:eastAsia="Times New Roman"/>
                <w:sz w:val="21"/>
              </w:rPr>
              <w:t>“</w:t>
            </w:r>
            <w:r>
              <w:rPr>
                <w:sz w:val="21"/>
              </w:rPr>
              <w:t>三同时</w:t>
            </w:r>
            <w:r>
              <w:rPr>
                <w:rFonts w:ascii="Times New Roman" w:hAnsi="Times New Roman" w:eastAsia="Times New Roman"/>
                <w:sz w:val="21"/>
              </w:rPr>
              <w:t>”</w:t>
            </w:r>
            <w:r>
              <w:rPr>
                <w:spacing w:val="-10"/>
                <w:sz w:val="21"/>
              </w:rPr>
              <w:t>制度、矿山地</w:t>
            </w:r>
            <w:r>
              <w:rPr>
                <w:spacing w:val="6"/>
                <w:w w:val="95"/>
                <w:sz w:val="21"/>
              </w:rPr>
              <w:t>质环境治理恢复保证金制度以及土地复垦履</w:t>
            </w:r>
          </w:p>
          <w:p>
            <w:pPr>
              <w:pStyle w:val="TableParagraph"/>
              <w:spacing w:line="246" w:lineRule="exact"/>
              <w:ind w:left="106"/>
              <w:rPr>
                <w:rFonts w:ascii="Times New Roman" w:hAnsi="Times New Roman" w:eastAsia="Times New Roman"/>
                <w:sz w:val="21"/>
              </w:rPr>
            </w:pPr>
            <w:r>
              <w:rPr>
                <w:sz w:val="21"/>
              </w:rPr>
              <w:t>约金制度</w:t>
            </w:r>
            <w:r>
              <w:rPr>
                <w:rFonts w:ascii="Times New Roman" w:hAnsi="Times New Roman" w:eastAsia="Times New Roman"/>
                <w:sz w:val="21"/>
              </w:rPr>
              <w:t>”</w:t>
            </w:r>
          </w:p>
        </w:tc>
        <w:tc>
          <w:tcPr>
            <w:tcW w:w="2704" w:type="dxa"/>
            <w:tcBorders>
              <w:left w:val="single" w:sz="4" w:space="0" w:color="000000"/>
              <w:bottom w:val="single" w:sz="4" w:space="0" w:color="000000"/>
              <w:right w:val="single" w:sz="4" w:space="0" w:color="000000"/>
            </w:tcBorders>
          </w:tcPr>
          <w:p>
            <w:pPr>
              <w:pStyle w:val="TableParagraph"/>
              <w:spacing w:line="249" w:lineRule="auto" w:before="154"/>
              <w:ind w:left="108" w:right="96"/>
              <w:rPr>
                <w:sz w:val="21"/>
              </w:rPr>
            </w:pPr>
            <w:r>
              <w:rPr>
                <w:sz w:val="21"/>
              </w:rPr>
              <w:t>按要求编制矿山水土保持</w:t>
            </w:r>
            <w:r>
              <w:rPr>
                <w:spacing w:val="-7"/>
                <w:sz w:val="21"/>
              </w:rPr>
              <w:t>方案，严格执行矿山建设与</w:t>
            </w:r>
            <w:r>
              <w:rPr>
                <w:sz w:val="21"/>
              </w:rPr>
              <w:t>地质环境保护和恢复治理工程</w:t>
            </w:r>
            <w:r>
              <w:rPr>
                <w:rFonts w:ascii="Times New Roman" w:hAnsi="Times New Roman" w:eastAsia="Times New Roman"/>
                <w:sz w:val="21"/>
              </w:rPr>
              <w:t>“</w:t>
            </w:r>
            <w:r>
              <w:rPr>
                <w:sz w:val="21"/>
              </w:rPr>
              <w:t>三同时</w:t>
            </w:r>
            <w:r>
              <w:rPr>
                <w:rFonts w:ascii="Times New Roman" w:hAnsi="Times New Roman" w:eastAsia="Times New Roman"/>
                <w:sz w:val="21"/>
              </w:rPr>
              <w:t>”</w:t>
            </w:r>
            <w:r>
              <w:rPr>
                <w:sz w:val="21"/>
              </w:rPr>
              <w:t>制度等。</w:t>
            </w:r>
          </w:p>
        </w:tc>
        <w:tc>
          <w:tcPr>
            <w:tcW w:w="956"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r>
      <w:tr>
        <w:trPr>
          <w:trHeight w:val="564" w:hRule="atLeast"/>
        </w:trPr>
        <w:tc>
          <w:tcPr>
            <w:tcW w:w="1553" w:type="dxa"/>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nil"/>
              <w:right w:val="single" w:sz="4" w:space="0" w:color="000000"/>
            </w:tcBorders>
          </w:tcPr>
          <w:p>
            <w:pPr>
              <w:pStyle w:val="TableParagraph"/>
              <w:spacing w:line="280" w:lineRule="atLeast" w:before="2"/>
              <w:ind w:left="106" w:right="97"/>
              <w:rPr>
                <w:sz w:val="21"/>
              </w:rPr>
            </w:pPr>
            <w:r>
              <w:rPr>
                <w:rFonts w:ascii="Times New Roman" w:hAnsi="Times New Roman" w:eastAsia="Times New Roman"/>
                <w:sz w:val="21"/>
              </w:rPr>
              <w:t>“</w:t>
            </w:r>
            <w:r>
              <w:rPr>
                <w:sz w:val="21"/>
              </w:rPr>
              <w:t>严格执行矿山开发环境影响评价制度，对无</w:t>
            </w:r>
            <w:r>
              <w:rPr>
                <w:w w:val="95"/>
                <w:sz w:val="21"/>
              </w:rPr>
              <w:t>环境影响评价文件、矿山环境影响评价文件未</w:t>
            </w:r>
          </w:p>
        </w:tc>
        <w:tc>
          <w:tcPr>
            <w:tcW w:w="270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545" w:hRule="atLeast"/>
        </w:trPr>
        <w:tc>
          <w:tcPr>
            <w:tcW w:w="1553" w:type="dxa"/>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ind w:left="106"/>
              <w:rPr>
                <w:sz w:val="21"/>
              </w:rPr>
            </w:pPr>
            <w:r>
              <w:rPr>
                <w:spacing w:val="-9"/>
                <w:w w:val="95"/>
                <w:sz w:val="21"/>
              </w:rPr>
              <w:t>经审批，不落实生态保护和污染防治设施的项</w:t>
            </w:r>
          </w:p>
          <w:p>
            <w:pPr>
              <w:pStyle w:val="TableParagraph"/>
              <w:spacing w:line="247" w:lineRule="exact" w:before="10"/>
              <w:ind w:left="106"/>
              <w:rPr>
                <w:sz w:val="21"/>
              </w:rPr>
            </w:pPr>
            <w:r>
              <w:rPr>
                <w:spacing w:val="-9"/>
                <w:w w:val="95"/>
                <w:sz w:val="21"/>
              </w:rPr>
              <w:t>目及矿山企业，不得立项，不得发放和更换采</w:t>
            </w:r>
          </w:p>
        </w:tc>
        <w:tc>
          <w:tcPr>
            <w:tcW w:w="2704" w:type="dxa"/>
            <w:tcBorders>
              <w:top w:val="nil"/>
              <w:left w:val="single" w:sz="4" w:space="0" w:color="000000"/>
              <w:bottom w:val="nil"/>
              <w:right w:val="single" w:sz="4" w:space="0" w:color="000000"/>
            </w:tcBorders>
          </w:tcPr>
          <w:p>
            <w:pPr>
              <w:pStyle w:val="TableParagraph"/>
              <w:spacing w:before="139"/>
              <w:ind w:left="108"/>
              <w:rPr>
                <w:sz w:val="21"/>
              </w:rPr>
            </w:pPr>
            <w:r>
              <w:rPr>
                <w:sz w:val="21"/>
              </w:rPr>
              <w:t>项目方正在完善相关手续。</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549" w:hRule="atLeast"/>
        </w:trPr>
        <w:tc>
          <w:tcPr>
            <w:tcW w:w="1553" w:type="dxa"/>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nil"/>
              <w:left w:val="single" w:sz="4" w:space="0" w:color="000000"/>
              <w:bottom w:val="single" w:sz="4" w:space="0" w:color="000000"/>
              <w:right w:val="single" w:sz="4" w:space="0" w:color="000000"/>
            </w:tcBorders>
          </w:tcPr>
          <w:p>
            <w:pPr>
              <w:pStyle w:val="TableParagraph"/>
              <w:spacing w:before="4"/>
              <w:ind w:left="106"/>
              <w:rPr>
                <w:sz w:val="21"/>
              </w:rPr>
            </w:pPr>
            <w:r>
              <w:rPr>
                <w:sz w:val="21"/>
              </w:rPr>
              <w:t>矿许可证；未完成环保</w:t>
            </w:r>
            <w:r>
              <w:rPr>
                <w:rFonts w:ascii="Times New Roman" w:hAnsi="Times New Roman" w:eastAsia="Times New Roman"/>
                <w:sz w:val="21"/>
              </w:rPr>
              <w:t>“</w:t>
            </w:r>
            <w:r>
              <w:rPr>
                <w:sz w:val="21"/>
              </w:rPr>
              <w:t>三同时</w:t>
            </w:r>
            <w:r>
              <w:rPr>
                <w:rFonts w:ascii="Times New Roman" w:hAnsi="Times New Roman" w:eastAsia="Times New Roman"/>
                <w:sz w:val="21"/>
              </w:rPr>
              <w:t>”</w:t>
            </w:r>
            <w:r>
              <w:rPr>
                <w:sz w:val="21"/>
              </w:rPr>
              <w:t>的不得通过竣</w:t>
            </w:r>
          </w:p>
          <w:p>
            <w:pPr>
              <w:pStyle w:val="TableParagraph"/>
              <w:spacing w:line="245" w:lineRule="exact" w:before="11"/>
              <w:ind w:left="106"/>
              <w:rPr>
                <w:rFonts w:ascii="Times New Roman" w:hAnsi="Times New Roman" w:eastAsia="Times New Roman"/>
                <w:sz w:val="21"/>
              </w:rPr>
            </w:pPr>
            <w:r>
              <w:rPr>
                <w:sz w:val="21"/>
              </w:rPr>
              <w:t>工验收。</w:t>
            </w:r>
            <w:r>
              <w:rPr>
                <w:rFonts w:ascii="Times New Roman" w:hAnsi="Times New Roman" w:eastAsia="Times New Roman"/>
                <w:sz w:val="21"/>
              </w:rPr>
              <w:t>”</w:t>
            </w:r>
          </w:p>
        </w:tc>
        <w:tc>
          <w:tcPr>
            <w:tcW w:w="270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984" w:hRule="atLeast"/>
        </w:trPr>
        <w:tc>
          <w:tcPr>
            <w:tcW w:w="1553" w:type="dxa"/>
            <w:tcBorders>
              <w:top w:val="single" w:sz="4" w:space="0" w:color="000000"/>
              <w:left w:val="single" w:sz="4" w:space="0" w:color="000000"/>
              <w:bottom w:val="nil"/>
              <w:right w:val="single" w:sz="4" w:space="0" w:color="000000"/>
            </w:tcBorders>
          </w:tcPr>
          <w:p>
            <w:pPr>
              <w:pStyle w:val="TableParagraph"/>
              <w:rPr>
                <w:rFonts w:ascii="黑体"/>
                <w:sz w:val="20"/>
              </w:rPr>
            </w:pPr>
          </w:p>
          <w:p>
            <w:pPr>
              <w:pStyle w:val="TableParagraph"/>
              <w:rPr>
                <w:rFonts w:ascii="黑体"/>
                <w:sz w:val="20"/>
              </w:rPr>
            </w:pPr>
          </w:p>
          <w:p>
            <w:pPr>
              <w:pStyle w:val="TableParagraph"/>
              <w:spacing w:before="9"/>
              <w:rPr>
                <w:rFonts w:ascii="黑体"/>
                <w:sz w:val="15"/>
              </w:rPr>
            </w:pPr>
          </w:p>
          <w:p>
            <w:pPr>
              <w:pStyle w:val="TableParagraph"/>
              <w:spacing w:line="250" w:lineRule="exact"/>
              <w:ind w:left="214"/>
              <w:rPr>
                <w:sz w:val="21"/>
              </w:rPr>
            </w:pPr>
            <w:r>
              <w:rPr>
                <w:sz w:val="21"/>
              </w:rPr>
              <w:t>《 陕西省秦</w:t>
            </w:r>
          </w:p>
        </w:tc>
        <w:tc>
          <w:tcPr>
            <w:tcW w:w="434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9" w:lineRule="auto" w:before="13"/>
              <w:ind w:left="106" w:right="23"/>
              <w:jc w:val="both"/>
              <w:rPr>
                <w:sz w:val="21"/>
              </w:rPr>
            </w:pPr>
            <w:r>
              <w:rPr>
                <w:spacing w:val="-7"/>
                <w:sz w:val="21"/>
              </w:rPr>
              <w:t>根据规划东西以省界为界，南北秦岭山体坡地</w:t>
            </w:r>
            <w:r>
              <w:rPr>
                <w:spacing w:val="-10"/>
                <w:sz w:val="21"/>
              </w:rPr>
              <w:t>为界，将规划区划分为禁止开发区，限制开发</w:t>
            </w:r>
            <w:r>
              <w:rPr>
                <w:spacing w:val="-12"/>
                <w:sz w:val="21"/>
              </w:rPr>
              <w:t>区和适度开发区。在规划范围内禁止开发区和</w:t>
            </w:r>
            <w:r>
              <w:rPr>
                <w:spacing w:val="-15"/>
                <w:sz w:val="21"/>
              </w:rPr>
              <w:t>限制开发区范围内勘探、开发矿产资源。取得</w:t>
            </w:r>
            <w:r>
              <w:rPr>
                <w:spacing w:val="6"/>
                <w:sz w:val="21"/>
              </w:rPr>
              <w:t>采矿许可证的矿产资源开发企业应当采用先</w:t>
            </w:r>
            <w:r>
              <w:rPr>
                <w:spacing w:val="-2"/>
                <w:sz w:val="21"/>
              </w:rPr>
              <w:t>进工艺技术和措施，提高资源综合利用率，集</w:t>
            </w:r>
            <w:r>
              <w:rPr>
                <w:spacing w:val="-9"/>
                <w:sz w:val="21"/>
              </w:rPr>
              <w:t>中贮存、处置尾矿渣等废弃物、污染物，并达</w:t>
            </w:r>
            <w:r>
              <w:rPr>
                <w:spacing w:val="-10"/>
                <w:sz w:val="21"/>
              </w:rPr>
              <w:t>标排放，减少对生态环境的损害。在秦岭进行</w:t>
            </w:r>
            <w:r>
              <w:rPr>
                <w:spacing w:val="6"/>
                <w:sz w:val="21"/>
              </w:rPr>
              <w:t>矿产资源开发的企业应当依法进行环境影响</w:t>
            </w:r>
            <w:r>
              <w:rPr>
                <w:spacing w:val="-7"/>
                <w:sz w:val="21"/>
              </w:rPr>
              <w:t>评价，编制矿山地质环境保护与恢复治理、生</w:t>
            </w:r>
            <w:r>
              <w:rPr>
                <w:spacing w:val="-11"/>
                <w:sz w:val="21"/>
              </w:rPr>
              <w:t>态环境恢复治理和场地修复评估方案，依法经</w:t>
            </w:r>
            <w:r>
              <w:rPr>
                <w:spacing w:val="-11"/>
                <w:w w:val="95"/>
                <w:sz w:val="21"/>
              </w:rPr>
              <w:t>设区的市或者省级行政主管部门审批后实施。</w:t>
            </w:r>
          </w:p>
        </w:tc>
        <w:tc>
          <w:tcPr>
            <w:tcW w:w="2704" w:type="dxa"/>
            <w:tcBorders>
              <w:top w:val="single" w:sz="4" w:space="0" w:color="000000"/>
              <w:left w:val="single" w:sz="4" w:space="0" w:color="000000"/>
              <w:bottom w:val="nil"/>
              <w:right w:val="single" w:sz="4" w:space="0" w:color="000000"/>
            </w:tcBorders>
          </w:tcPr>
          <w:p>
            <w:pPr>
              <w:pStyle w:val="TableParagraph"/>
              <w:rPr>
                <w:rFonts w:ascii="黑体"/>
                <w:sz w:val="20"/>
              </w:rPr>
            </w:pPr>
          </w:p>
          <w:p>
            <w:pPr>
              <w:pStyle w:val="TableParagraph"/>
              <w:rPr>
                <w:rFonts w:ascii="黑体"/>
                <w:sz w:val="20"/>
              </w:rPr>
            </w:pPr>
          </w:p>
          <w:p>
            <w:pPr>
              <w:pStyle w:val="TableParagraph"/>
              <w:spacing w:before="9"/>
              <w:rPr>
                <w:rFonts w:ascii="黑体"/>
                <w:sz w:val="15"/>
              </w:rPr>
            </w:pPr>
          </w:p>
          <w:p>
            <w:pPr>
              <w:pStyle w:val="TableParagraph"/>
              <w:spacing w:line="250" w:lineRule="exact"/>
              <w:ind w:left="108"/>
              <w:rPr>
                <w:sz w:val="21"/>
              </w:rPr>
            </w:pPr>
            <w:r>
              <w:rPr>
                <w:sz w:val="21"/>
              </w:rPr>
              <w:t>本项目位于适度开发区范</w:t>
            </w:r>
          </w:p>
        </w:tc>
        <w:tc>
          <w:tcPr>
            <w:tcW w:w="956"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r>
      <w:tr>
        <w:trPr>
          <w:trHeight w:val="269" w:hRule="atLeast"/>
        </w:trPr>
        <w:tc>
          <w:tcPr>
            <w:tcW w:w="1553" w:type="dxa"/>
            <w:tcBorders>
              <w:top w:val="nil"/>
              <w:left w:val="single" w:sz="4" w:space="0" w:color="000000"/>
              <w:bottom w:val="nil"/>
              <w:right w:val="single" w:sz="4" w:space="0" w:color="000000"/>
            </w:tcBorders>
          </w:tcPr>
          <w:p>
            <w:pPr>
              <w:pStyle w:val="TableParagraph"/>
              <w:spacing w:line="249" w:lineRule="exact"/>
              <w:ind w:left="214"/>
              <w:rPr>
                <w:sz w:val="21"/>
              </w:rPr>
            </w:pPr>
            <w:r>
              <w:rPr>
                <w:sz w:val="21"/>
              </w:rPr>
              <w:t>岭生态环境</w:t>
            </w:r>
          </w:p>
        </w:tc>
        <w:tc>
          <w:tcPr>
            <w:tcW w:w="4342" w:type="dxa"/>
            <w:vMerge/>
            <w:tcBorders>
              <w:top w:val="nil"/>
              <w:left w:val="single" w:sz="4" w:space="0" w:color="000000"/>
              <w:bottom w:val="single" w:sz="4" w:space="0" w:color="000000"/>
              <w:right w:val="single" w:sz="4" w:space="0" w:color="000000"/>
            </w:tcBorders>
          </w:tcPr>
          <w:p>
            <w:pPr>
              <w:rPr>
                <w:sz w:val="2"/>
                <w:szCs w:val="2"/>
              </w:rPr>
            </w:pPr>
          </w:p>
        </w:tc>
        <w:tc>
          <w:tcPr>
            <w:tcW w:w="2704" w:type="dxa"/>
            <w:tcBorders>
              <w:top w:val="nil"/>
              <w:left w:val="single" w:sz="4" w:space="0" w:color="000000"/>
              <w:bottom w:val="nil"/>
              <w:right w:val="single" w:sz="4" w:space="0" w:color="000000"/>
            </w:tcBorders>
          </w:tcPr>
          <w:p>
            <w:pPr>
              <w:pStyle w:val="TableParagraph"/>
              <w:spacing w:line="249" w:lineRule="exact"/>
              <w:ind w:left="108"/>
              <w:rPr>
                <w:sz w:val="21"/>
              </w:rPr>
            </w:pPr>
            <w:r>
              <w:rPr>
                <w:sz w:val="21"/>
              </w:rPr>
              <w:t>围内，同时项目采用挖机开</w:t>
            </w: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269" w:hRule="atLeast"/>
        </w:trPr>
        <w:tc>
          <w:tcPr>
            <w:tcW w:w="1553" w:type="dxa"/>
            <w:tcBorders>
              <w:top w:val="nil"/>
              <w:left w:val="single" w:sz="4" w:space="0" w:color="000000"/>
              <w:bottom w:val="nil"/>
              <w:right w:val="single" w:sz="4" w:space="0" w:color="000000"/>
            </w:tcBorders>
          </w:tcPr>
          <w:p>
            <w:pPr>
              <w:pStyle w:val="TableParagraph"/>
              <w:spacing w:line="250" w:lineRule="exact"/>
              <w:ind w:left="214"/>
              <w:rPr>
                <w:sz w:val="21"/>
              </w:rPr>
            </w:pPr>
            <w:r>
              <w:rPr>
                <w:sz w:val="21"/>
              </w:rPr>
              <w:t>保护条例》及</w:t>
            </w:r>
          </w:p>
        </w:tc>
        <w:tc>
          <w:tcPr>
            <w:tcW w:w="4342" w:type="dxa"/>
            <w:vMerge/>
            <w:tcBorders>
              <w:top w:val="nil"/>
              <w:left w:val="single" w:sz="4" w:space="0" w:color="000000"/>
              <w:bottom w:val="single" w:sz="4" w:space="0" w:color="000000"/>
              <w:right w:val="single" w:sz="4" w:space="0" w:color="000000"/>
            </w:tcBorders>
          </w:tcPr>
          <w:p>
            <w:pPr>
              <w:rPr>
                <w:sz w:val="2"/>
                <w:szCs w:val="2"/>
              </w:rPr>
            </w:pPr>
          </w:p>
        </w:tc>
        <w:tc>
          <w:tcPr>
            <w:tcW w:w="2704" w:type="dxa"/>
            <w:tcBorders>
              <w:top w:val="nil"/>
              <w:left w:val="single" w:sz="4" w:space="0" w:color="000000"/>
              <w:bottom w:val="nil"/>
              <w:right w:val="single" w:sz="4" w:space="0" w:color="000000"/>
            </w:tcBorders>
          </w:tcPr>
          <w:p>
            <w:pPr>
              <w:pStyle w:val="TableParagraph"/>
              <w:spacing w:line="250" w:lineRule="exact"/>
              <w:ind w:left="108"/>
              <w:rPr>
                <w:sz w:val="21"/>
              </w:rPr>
            </w:pPr>
            <w:r>
              <w:rPr>
                <w:sz w:val="21"/>
              </w:rPr>
              <w:t>采，页岩矿在开采和加工过</w:t>
            </w: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270" w:hRule="atLeast"/>
        </w:trPr>
        <w:tc>
          <w:tcPr>
            <w:tcW w:w="1553" w:type="dxa"/>
            <w:tcBorders>
              <w:top w:val="nil"/>
              <w:left w:val="single" w:sz="4" w:space="0" w:color="000000"/>
              <w:bottom w:val="nil"/>
              <w:right w:val="single" w:sz="4" w:space="0" w:color="000000"/>
            </w:tcBorders>
          </w:tcPr>
          <w:p>
            <w:pPr>
              <w:pStyle w:val="TableParagraph"/>
              <w:spacing w:line="250" w:lineRule="exact"/>
              <w:ind w:left="214"/>
              <w:rPr>
                <w:sz w:val="21"/>
              </w:rPr>
            </w:pPr>
            <w:r>
              <w:rPr>
                <w:sz w:val="21"/>
              </w:rPr>
              <w:t>《 陕西省秦</w:t>
            </w:r>
          </w:p>
        </w:tc>
        <w:tc>
          <w:tcPr>
            <w:tcW w:w="4342" w:type="dxa"/>
            <w:vMerge/>
            <w:tcBorders>
              <w:top w:val="nil"/>
              <w:left w:val="single" w:sz="4" w:space="0" w:color="000000"/>
              <w:bottom w:val="single" w:sz="4" w:space="0" w:color="000000"/>
              <w:right w:val="single" w:sz="4" w:space="0" w:color="000000"/>
            </w:tcBorders>
          </w:tcPr>
          <w:p>
            <w:pPr>
              <w:rPr>
                <w:sz w:val="2"/>
                <w:szCs w:val="2"/>
              </w:rPr>
            </w:pPr>
          </w:p>
        </w:tc>
        <w:tc>
          <w:tcPr>
            <w:tcW w:w="2704" w:type="dxa"/>
            <w:tcBorders>
              <w:top w:val="nil"/>
              <w:left w:val="single" w:sz="4" w:space="0" w:color="000000"/>
              <w:bottom w:val="nil"/>
              <w:right w:val="single" w:sz="4" w:space="0" w:color="000000"/>
            </w:tcBorders>
          </w:tcPr>
          <w:p>
            <w:pPr>
              <w:pStyle w:val="TableParagraph"/>
              <w:spacing w:line="250" w:lineRule="exact"/>
              <w:ind w:left="108"/>
              <w:rPr>
                <w:sz w:val="21"/>
              </w:rPr>
            </w:pPr>
            <w:r>
              <w:rPr>
                <w:sz w:val="21"/>
              </w:rPr>
              <w:t>程中基本无尾矿和废渣等</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69" w:hRule="atLeast"/>
        </w:trPr>
        <w:tc>
          <w:tcPr>
            <w:tcW w:w="1553" w:type="dxa"/>
            <w:tcBorders>
              <w:top w:val="nil"/>
              <w:left w:val="single" w:sz="4" w:space="0" w:color="000000"/>
              <w:bottom w:val="nil"/>
              <w:right w:val="single" w:sz="4" w:space="0" w:color="000000"/>
            </w:tcBorders>
          </w:tcPr>
          <w:p>
            <w:pPr>
              <w:pStyle w:val="TableParagraph"/>
              <w:spacing w:line="249" w:lineRule="exact"/>
              <w:ind w:left="214"/>
              <w:rPr>
                <w:sz w:val="21"/>
              </w:rPr>
            </w:pPr>
            <w:r>
              <w:rPr>
                <w:sz w:val="21"/>
              </w:rPr>
              <w:t>岭生态环境</w:t>
            </w:r>
          </w:p>
        </w:tc>
        <w:tc>
          <w:tcPr>
            <w:tcW w:w="4342" w:type="dxa"/>
            <w:vMerge/>
            <w:tcBorders>
              <w:top w:val="nil"/>
              <w:left w:val="single" w:sz="4" w:space="0" w:color="000000"/>
              <w:bottom w:val="single" w:sz="4" w:space="0" w:color="000000"/>
              <w:right w:val="single" w:sz="4" w:space="0" w:color="000000"/>
            </w:tcBorders>
          </w:tcPr>
          <w:p>
            <w:pPr>
              <w:rPr>
                <w:sz w:val="2"/>
                <w:szCs w:val="2"/>
              </w:rPr>
            </w:pPr>
          </w:p>
        </w:tc>
        <w:tc>
          <w:tcPr>
            <w:tcW w:w="2704" w:type="dxa"/>
            <w:tcBorders>
              <w:top w:val="nil"/>
              <w:left w:val="single" w:sz="4" w:space="0" w:color="000000"/>
              <w:bottom w:val="nil"/>
              <w:right w:val="single" w:sz="4" w:space="0" w:color="000000"/>
            </w:tcBorders>
          </w:tcPr>
          <w:p>
            <w:pPr>
              <w:pStyle w:val="TableParagraph"/>
              <w:spacing w:line="249" w:lineRule="exact"/>
              <w:ind w:left="108"/>
              <w:rPr>
                <w:sz w:val="21"/>
              </w:rPr>
            </w:pPr>
            <w:r>
              <w:rPr>
                <w:sz w:val="21"/>
              </w:rPr>
              <w:t>废弃物产生。项目在运营前</w:t>
            </w:r>
          </w:p>
        </w:tc>
        <w:tc>
          <w:tcPr>
            <w:tcW w:w="956" w:type="dxa"/>
            <w:tcBorders>
              <w:top w:val="nil"/>
              <w:left w:val="single" w:sz="4" w:space="0" w:color="000000"/>
              <w:bottom w:val="nil"/>
              <w:right w:val="single" w:sz="4" w:space="0" w:color="000000"/>
            </w:tcBorders>
          </w:tcPr>
          <w:p>
            <w:pPr>
              <w:pStyle w:val="TableParagraph"/>
              <w:spacing w:line="249" w:lineRule="exact"/>
              <w:ind w:left="318"/>
              <w:rPr>
                <w:sz w:val="21"/>
              </w:rPr>
            </w:pPr>
            <w:r>
              <w:rPr>
                <w:sz w:val="21"/>
              </w:rPr>
              <w:t>符合</w:t>
            </w:r>
          </w:p>
        </w:tc>
      </w:tr>
      <w:tr>
        <w:trPr>
          <w:trHeight w:val="269" w:hRule="atLeast"/>
        </w:trPr>
        <w:tc>
          <w:tcPr>
            <w:tcW w:w="1553" w:type="dxa"/>
            <w:tcBorders>
              <w:top w:val="nil"/>
              <w:left w:val="single" w:sz="4" w:space="0" w:color="000000"/>
              <w:bottom w:val="nil"/>
              <w:right w:val="single" w:sz="4" w:space="0" w:color="000000"/>
            </w:tcBorders>
          </w:tcPr>
          <w:p>
            <w:pPr>
              <w:pStyle w:val="TableParagraph"/>
              <w:spacing w:line="250" w:lineRule="exact"/>
              <w:ind w:left="214"/>
              <w:rPr>
                <w:sz w:val="21"/>
              </w:rPr>
            </w:pPr>
            <w:r>
              <w:rPr>
                <w:sz w:val="21"/>
              </w:rPr>
              <w:t>保护总体规</w:t>
            </w:r>
          </w:p>
        </w:tc>
        <w:tc>
          <w:tcPr>
            <w:tcW w:w="4342" w:type="dxa"/>
            <w:vMerge/>
            <w:tcBorders>
              <w:top w:val="nil"/>
              <w:left w:val="single" w:sz="4" w:space="0" w:color="000000"/>
              <w:bottom w:val="single" w:sz="4" w:space="0" w:color="000000"/>
              <w:right w:val="single" w:sz="4" w:space="0" w:color="000000"/>
            </w:tcBorders>
          </w:tcPr>
          <w:p>
            <w:pPr>
              <w:rPr>
                <w:sz w:val="2"/>
                <w:szCs w:val="2"/>
              </w:rPr>
            </w:pPr>
          </w:p>
        </w:tc>
        <w:tc>
          <w:tcPr>
            <w:tcW w:w="2704" w:type="dxa"/>
            <w:tcBorders>
              <w:top w:val="nil"/>
              <w:left w:val="single" w:sz="4" w:space="0" w:color="000000"/>
              <w:bottom w:val="nil"/>
              <w:right w:val="single" w:sz="4" w:space="0" w:color="000000"/>
            </w:tcBorders>
          </w:tcPr>
          <w:p>
            <w:pPr>
              <w:pStyle w:val="TableParagraph"/>
              <w:spacing w:line="250" w:lineRule="exact"/>
              <w:ind w:left="108"/>
              <w:rPr>
                <w:sz w:val="21"/>
              </w:rPr>
            </w:pPr>
            <w:r>
              <w:rPr>
                <w:sz w:val="21"/>
              </w:rPr>
              <w:t>正在积极办理环境影响评</w:t>
            </w: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270" w:hRule="atLeast"/>
        </w:trPr>
        <w:tc>
          <w:tcPr>
            <w:tcW w:w="1553" w:type="dxa"/>
            <w:tcBorders>
              <w:top w:val="nil"/>
              <w:left w:val="single" w:sz="4" w:space="0" w:color="000000"/>
              <w:bottom w:val="nil"/>
              <w:right w:val="single" w:sz="4" w:space="0" w:color="000000"/>
            </w:tcBorders>
          </w:tcPr>
          <w:p>
            <w:pPr>
              <w:pStyle w:val="TableParagraph"/>
              <w:spacing w:line="250" w:lineRule="exact"/>
              <w:ind w:left="214"/>
              <w:rPr>
                <w:sz w:val="21"/>
              </w:rPr>
            </w:pPr>
            <w:r>
              <w:rPr>
                <w:sz w:val="21"/>
              </w:rPr>
              <w:t>划》</w:t>
            </w:r>
          </w:p>
        </w:tc>
        <w:tc>
          <w:tcPr>
            <w:tcW w:w="4342" w:type="dxa"/>
            <w:vMerge/>
            <w:tcBorders>
              <w:top w:val="nil"/>
              <w:left w:val="single" w:sz="4" w:space="0" w:color="000000"/>
              <w:bottom w:val="single" w:sz="4" w:space="0" w:color="000000"/>
              <w:right w:val="single" w:sz="4" w:space="0" w:color="000000"/>
            </w:tcBorders>
          </w:tcPr>
          <w:p>
            <w:pPr>
              <w:rPr>
                <w:sz w:val="2"/>
                <w:szCs w:val="2"/>
              </w:rPr>
            </w:pPr>
          </w:p>
        </w:tc>
        <w:tc>
          <w:tcPr>
            <w:tcW w:w="2704" w:type="dxa"/>
            <w:tcBorders>
              <w:top w:val="nil"/>
              <w:left w:val="single" w:sz="4" w:space="0" w:color="000000"/>
              <w:bottom w:val="nil"/>
              <w:right w:val="single" w:sz="4" w:space="0" w:color="000000"/>
            </w:tcBorders>
          </w:tcPr>
          <w:p>
            <w:pPr>
              <w:pStyle w:val="TableParagraph"/>
              <w:spacing w:line="250" w:lineRule="exact"/>
              <w:ind w:left="108"/>
              <w:rPr>
                <w:sz w:val="21"/>
              </w:rPr>
            </w:pPr>
            <w:r>
              <w:rPr>
                <w:sz w:val="21"/>
              </w:rPr>
              <w:t>价及《编制矿山地质环境保</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1245" w:hRule="atLeast"/>
        </w:trPr>
        <w:tc>
          <w:tcPr>
            <w:tcW w:w="155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4342" w:type="dxa"/>
            <w:vMerge/>
            <w:tcBorders>
              <w:top w:val="nil"/>
              <w:left w:val="single" w:sz="4" w:space="0" w:color="000000"/>
              <w:bottom w:val="single" w:sz="4" w:space="0" w:color="000000"/>
              <w:right w:val="single" w:sz="4" w:space="0" w:color="000000"/>
            </w:tcBorders>
          </w:tcPr>
          <w:p>
            <w:pPr>
              <w:rPr>
                <w:sz w:val="2"/>
                <w:szCs w:val="2"/>
              </w:rPr>
            </w:pPr>
          </w:p>
        </w:tc>
        <w:tc>
          <w:tcPr>
            <w:tcW w:w="2704" w:type="dxa"/>
            <w:tcBorders>
              <w:top w:val="nil"/>
              <w:left w:val="single" w:sz="4" w:space="0" w:color="000000"/>
              <w:bottom w:val="single" w:sz="4" w:space="0" w:color="000000"/>
              <w:right w:val="single" w:sz="4" w:space="0" w:color="000000"/>
            </w:tcBorders>
          </w:tcPr>
          <w:p>
            <w:pPr>
              <w:pStyle w:val="TableParagraph"/>
              <w:ind w:left="108"/>
              <w:rPr>
                <w:sz w:val="21"/>
              </w:rPr>
            </w:pPr>
            <w:r>
              <w:rPr>
                <w:sz w:val="21"/>
              </w:rPr>
              <w:t>护于土地复垦方案》。</w:t>
            </w:r>
          </w:p>
        </w:tc>
        <w:tc>
          <w:tcPr>
            <w:tcW w:w="956"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r>
      <w:tr>
        <w:trPr>
          <w:trHeight w:val="289" w:hRule="atLeast"/>
        </w:trPr>
        <w:tc>
          <w:tcPr>
            <w:tcW w:w="1553"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4342" w:type="dxa"/>
            <w:tcBorders>
              <w:top w:val="single" w:sz="4" w:space="0" w:color="000000"/>
              <w:left w:val="single" w:sz="4" w:space="0" w:color="000000"/>
              <w:bottom w:val="nil"/>
              <w:right w:val="single" w:sz="4" w:space="0" w:color="000000"/>
            </w:tcBorders>
          </w:tcPr>
          <w:p>
            <w:pPr>
              <w:pStyle w:val="TableParagraph"/>
              <w:spacing w:line="255" w:lineRule="exact" w:before="14"/>
              <w:ind w:left="106" w:right="-15"/>
              <w:rPr>
                <w:sz w:val="21"/>
              </w:rPr>
            </w:pPr>
            <w:r>
              <w:rPr>
                <w:b/>
                <w:sz w:val="21"/>
              </w:rPr>
              <w:t>（二）严格落实环境影响评价制度。</w:t>
            </w:r>
            <w:r>
              <w:rPr>
                <w:sz w:val="21"/>
              </w:rPr>
              <w:t>新、改、</w:t>
            </w:r>
          </w:p>
        </w:tc>
        <w:tc>
          <w:tcPr>
            <w:tcW w:w="270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956"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r>
      <w:tr>
        <w:trPr>
          <w:trHeight w:val="276"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1" w:lineRule="exact" w:before="5"/>
              <w:ind w:left="106"/>
              <w:rPr>
                <w:sz w:val="21"/>
              </w:rPr>
            </w:pPr>
            <w:r>
              <w:rPr>
                <w:sz w:val="21"/>
              </w:rPr>
              <w:t>扩建矿山项目要严格执行环境影响评价制度</w:t>
            </w:r>
          </w:p>
        </w:tc>
        <w:tc>
          <w:tcPr>
            <w:tcW w:w="2704" w:type="dxa"/>
            <w:tcBorders>
              <w:top w:val="nil"/>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563"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before="7"/>
              <w:ind w:left="106"/>
              <w:rPr>
                <w:sz w:val="21"/>
              </w:rPr>
            </w:pPr>
            <w:r>
              <w:rPr>
                <w:w w:val="95"/>
                <w:sz w:val="21"/>
              </w:rPr>
              <w:t>和环保</w:t>
            </w:r>
            <w:r>
              <w:rPr>
                <w:rFonts w:ascii="Times New Roman" w:hAnsi="Times New Roman" w:eastAsia="Times New Roman"/>
                <w:w w:val="95"/>
                <w:sz w:val="21"/>
              </w:rPr>
              <w:t>“</w:t>
            </w:r>
            <w:r>
              <w:rPr>
                <w:w w:val="95"/>
                <w:sz w:val="21"/>
              </w:rPr>
              <w:t>三同时</w:t>
            </w:r>
            <w:r>
              <w:rPr>
                <w:rFonts w:ascii="Times New Roman" w:hAnsi="Times New Roman" w:eastAsia="Times New Roman"/>
                <w:w w:val="95"/>
                <w:sz w:val="21"/>
              </w:rPr>
              <w:t>”</w:t>
            </w:r>
            <w:r>
              <w:rPr>
                <w:spacing w:val="-8"/>
                <w:w w:val="95"/>
                <w:sz w:val="21"/>
              </w:rPr>
              <w:t>制度、矿区及周围造林绿化制</w:t>
            </w:r>
          </w:p>
          <w:p>
            <w:pPr>
              <w:pStyle w:val="TableParagraph"/>
              <w:spacing w:line="255" w:lineRule="exact" w:before="12"/>
              <w:ind w:left="106"/>
              <w:rPr>
                <w:sz w:val="21"/>
              </w:rPr>
            </w:pPr>
            <w:r>
              <w:rPr>
                <w:spacing w:val="-8"/>
                <w:w w:val="95"/>
                <w:sz w:val="21"/>
              </w:rPr>
              <w:t>度，对达不到环境规范要求的矿山开发、选矿</w:t>
            </w:r>
          </w:p>
        </w:tc>
        <w:tc>
          <w:tcPr>
            <w:tcW w:w="2704" w:type="dxa"/>
            <w:tcBorders>
              <w:top w:val="nil"/>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6"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1" w:lineRule="exact" w:before="5"/>
              <w:ind w:left="106"/>
              <w:rPr>
                <w:sz w:val="21"/>
              </w:rPr>
            </w:pPr>
            <w:r>
              <w:rPr>
                <w:sz w:val="21"/>
              </w:rPr>
              <w:t>及废渣综合利用建设项目不得通过环评审批。</w:t>
            </w:r>
          </w:p>
        </w:tc>
        <w:tc>
          <w:tcPr>
            <w:tcW w:w="2704" w:type="dxa"/>
            <w:tcBorders>
              <w:top w:val="nil"/>
              <w:left w:val="single" w:sz="4" w:space="0" w:color="000000"/>
              <w:bottom w:val="nil"/>
              <w:right w:val="single" w:sz="4" w:space="0" w:color="000000"/>
            </w:tcBorders>
          </w:tcPr>
          <w:p>
            <w:pPr>
              <w:pStyle w:val="TableParagraph"/>
              <w:spacing w:line="251" w:lineRule="exact" w:before="5"/>
              <w:ind w:left="108"/>
              <w:rPr>
                <w:sz w:val="21"/>
              </w:rPr>
            </w:pPr>
            <w:r>
              <w:rPr>
                <w:sz w:val="21"/>
              </w:rPr>
              <w:t>现正在进行环境影响评价</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563"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before="7"/>
              <w:ind w:left="106"/>
              <w:rPr>
                <w:sz w:val="21"/>
              </w:rPr>
            </w:pPr>
            <w:r>
              <w:rPr>
                <w:spacing w:val="-7"/>
                <w:w w:val="95"/>
                <w:sz w:val="21"/>
              </w:rPr>
              <w:t>对未批先建、未验先投、未按</w:t>
            </w:r>
            <w:r>
              <w:rPr>
                <w:rFonts w:ascii="Times New Roman" w:hAnsi="Times New Roman" w:eastAsia="Times New Roman"/>
                <w:w w:val="95"/>
                <w:sz w:val="21"/>
              </w:rPr>
              <w:t>“</w:t>
            </w:r>
            <w:r>
              <w:rPr>
                <w:w w:val="95"/>
                <w:sz w:val="21"/>
              </w:rPr>
              <w:t>三同时</w:t>
            </w:r>
            <w:r>
              <w:rPr>
                <w:rFonts w:ascii="Times New Roman" w:hAnsi="Times New Roman" w:eastAsia="Times New Roman"/>
                <w:w w:val="95"/>
                <w:sz w:val="21"/>
              </w:rPr>
              <w:t>”</w:t>
            </w:r>
            <w:r>
              <w:rPr>
                <w:w w:val="95"/>
                <w:sz w:val="21"/>
              </w:rPr>
              <w:t>要求落</w:t>
            </w:r>
          </w:p>
          <w:p>
            <w:pPr>
              <w:pStyle w:val="TableParagraph"/>
              <w:spacing w:line="255" w:lineRule="exact" w:before="12"/>
              <w:ind w:left="106"/>
              <w:rPr>
                <w:sz w:val="21"/>
              </w:rPr>
            </w:pPr>
            <w:r>
              <w:rPr>
                <w:spacing w:val="-7"/>
                <w:w w:val="95"/>
                <w:sz w:val="21"/>
              </w:rPr>
              <w:t>实环保设施的矿山开发、选矿及废渣综合利用</w:t>
            </w:r>
          </w:p>
        </w:tc>
        <w:tc>
          <w:tcPr>
            <w:tcW w:w="2704" w:type="dxa"/>
            <w:tcBorders>
              <w:top w:val="nil"/>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4" w:lineRule="exact" w:before="5"/>
              <w:ind w:left="106"/>
              <w:rPr>
                <w:sz w:val="21"/>
              </w:rPr>
            </w:pPr>
            <w:r>
              <w:rPr>
                <w:sz w:val="21"/>
              </w:rPr>
              <w:t>建设项目，依法实施停产治理和限期整改，切</w:t>
            </w:r>
          </w:p>
        </w:tc>
        <w:tc>
          <w:tcPr>
            <w:tcW w:w="2704" w:type="dxa"/>
            <w:tcBorders>
              <w:top w:val="nil"/>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0"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single" w:sz="4" w:space="0" w:color="000000"/>
              <w:right w:val="single" w:sz="4" w:space="0" w:color="000000"/>
            </w:tcBorders>
          </w:tcPr>
          <w:p>
            <w:pPr>
              <w:pStyle w:val="TableParagraph"/>
              <w:spacing w:line="247" w:lineRule="exact" w:before="4"/>
              <w:ind w:left="106"/>
              <w:rPr>
                <w:sz w:val="21"/>
              </w:rPr>
            </w:pPr>
            <w:r>
              <w:rPr>
                <w:sz w:val="21"/>
              </w:rPr>
              <w:t>实把住把牢矿产资源开发的环境准入关口。</w:t>
            </w:r>
          </w:p>
        </w:tc>
        <w:tc>
          <w:tcPr>
            <w:tcW w:w="270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311" w:hRule="atLeast"/>
        </w:trPr>
        <w:tc>
          <w:tcPr>
            <w:tcW w:w="1553" w:type="dxa"/>
            <w:tcBorders>
              <w:top w:val="nil"/>
              <w:left w:val="single" w:sz="4" w:space="0" w:color="000000"/>
              <w:bottom w:val="nil"/>
              <w:right w:val="single" w:sz="4" w:space="0" w:color="000000"/>
            </w:tcBorders>
          </w:tcPr>
          <w:p>
            <w:pPr>
              <w:pStyle w:val="TableParagraph"/>
              <w:spacing w:line="259" w:lineRule="exact" w:before="33"/>
              <w:ind w:left="214"/>
              <w:rPr>
                <w:sz w:val="21"/>
              </w:rPr>
            </w:pPr>
            <w:r>
              <w:rPr>
                <w:sz w:val="21"/>
              </w:rPr>
              <w:t>《 陕西省矿</w:t>
            </w:r>
          </w:p>
        </w:tc>
        <w:tc>
          <w:tcPr>
            <w:tcW w:w="4342" w:type="dxa"/>
            <w:tcBorders>
              <w:top w:val="single" w:sz="4" w:space="0" w:color="000000"/>
              <w:left w:val="single" w:sz="4" w:space="0" w:color="000000"/>
              <w:bottom w:val="nil"/>
              <w:right w:val="single" w:sz="4" w:space="0" w:color="000000"/>
            </w:tcBorders>
          </w:tcPr>
          <w:p>
            <w:pPr>
              <w:pStyle w:val="TableParagraph"/>
              <w:spacing w:line="286" w:lineRule="exact" w:before="5"/>
              <w:ind w:left="106"/>
              <w:rPr>
                <w:sz w:val="21"/>
              </w:rPr>
            </w:pPr>
            <w:r>
              <w:rPr>
                <w:b/>
                <w:sz w:val="24"/>
              </w:rPr>
              <w:t>（六）强化矿山地质环境治理。</w:t>
            </w:r>
            <w:r>
              <w:rPr>
                <w:sz w:val="21"/>
              </w:rPr>
              <w:t>建立健全</w:t>
            </w:r>
          </w:p>
        </w:tc>
        <w:tc>
          <w:tcPr>
            <w:tcW w:w="270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4" w:hRule="atLeast"/>
        </w:trPr>
        <w:tc>
          <w:tcPr>
            <w:tcW w:w="1553" w:type="dxa"/>
            <w:tcBorders>
              <w:top w:val="nil"/>
              <w:left w:val="single" w:sz="4" w:space="0" w:color="000000"/>
              <w:bottom w:val="nil"/>
              <w:right w:val="single" w:sz="4" w:space="0" w:color="000000"/>
            </w:tcBorders>
          </w:tcPr>
          <w:p>
            <w:pPr>
              <w:pStyle w:val="TableParagraph"/>
              <w:spacing w:line="252" w:lineRule="exact" w:before="2"/>
              <w:ind w:left="214"/>
              <w:rPr>
                <w:sz w:val="21"/>
              </w:rPr>
            </w:pPr>
            <w:r>
              <w:rPr>
                <w:sz w:val="21"/>
              </w:rPr>
              <w:t>产资源开发</w:t>
            </w:r>
          </w:p>
        </w:tc>
        <w:tc>
          <w:tcPr>
            <w:tcW w:w="4342" w:type="dxa"/>
            <w:tcBorders>
              <w:top w:val="nil"/>
              <w:left w:val="single" w:sz="4" w:space="0" w:color="000000"/>
              <w:bottom w:val="nil"/>
              <w:right w:val="single" w:sz="4" w:space="0" w:color="000000"/>
            </w:tcBorders>
          </w:tcPr>
          <w:p>
            <w:pPr>
              <w:pStyle w:val="TableParagraph"/>
              <w:spacing w:line="252" w:lineRule="exact" w:before="2"/>
              <w:ind w:left="106"/>
              <w:rPr>
                <w:sz w:val="21"/>
              </w:rPr>
            </w:pPr>
            <w:r>
              <w:rPr>
                <w:sz w:val="21"/>
              </w:rPr>
              <w:t>矿山环境监测体系，全面掌握全省矿山环境变</w:t>
            </w:r>
          </w:p>
        </w:tc>
        <w:tc>
          <w:tcPr>
            <w:tcW w:w="2704" w:type="dxa"/>
            <w:tcBorders>
              <w:top w:val="nil"/>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1119" w:hRule="atLeast"/>
        </w:trPr>
        <w:tc>
          <w:tcPr>
            <w:tcW w:w="1553" w:type="dxa"/>
            <w:tcBorders>
              <w:top w:val="nil"/>
              <w:left w:val="single" w:sz="4" w:space="0" w:color="000000"/>
              <w:bottom w:val="nil"/>
              <w:right w:val="single" w:sz="4" w:space="0" w:color="000000"/>
            </w:tcBorders>
          </w:tcPr>
          <w:p>
            <w:pPr>
              <w:pStyle w:val="TableParagraph"/>
              <w:spacing w:line="247" w:lineRule="auto" w:before="9"/>
              <w:ind w:left="214" w:right="97"/>
              <w:rPr>
                <w:sz w:val="21"/>
              </w:rPr>
            </w:pPr>
            <w:r>
              <w:rPr>
                <w:rFonts w:ascii="Times New Roman" w:hAnsi="Times New Roman" w:eastAsia="Times New Roman"/>
                <w:spacing w:val="17"/>
                <w:sz w:val="21"/>
              </w:rPr>
              <w:t>“</w:t>
            </w:r>
            <w:r>
              <w:rPr>
                <w:spacing w:val="10"/>
                <w:sz w:val="21"/>
              </w:rPr>
              <w:t>保生态治污</w:t>
            </w:r>
            <w:r>
              <w:rPr>
                <w:spacing w:val="19"/>
                <w:w w:val="95"/>
                <w:sz w:val="21"/>
              </w:rPr>
              <w:t>染</w:t>
            </w:r>
            <w:r>
              <w:rPr>
                <w:rFonts w:ascii="Times New Roman" w:hAnsi="Times New Roman" w:eastAsia="Times New Roman"/>
                <w:spacing w:val="17"/>
                <w:w w:val="95"/>
                <w:sz w:val="21"/>
              </w:rPr>
              <w:t>”</w:t>
            </w:r>
            <w:r>
              <w:rPr>
                <w:spacing w:val="8"/>
                <w:w w:val="95"/>
                <w:sz w:val="21"/>
              </w:rPr>
              <w:t>行动方案</w:t>
            </w:r>
          </w:p>
          <w:p>
            <w:pPr>
              <w:pStyle w:val="TableParagraph"/>
              <w:spacing w:before="4"/>
              <w:ind w:left="214"/>
              <w:rPr>
                <w:rFonts w:ascii="Times New Roman" w:eastAsia="Times New Roman"/>
                <w:sz w:val="21"/>
              </w:rPr>
            </w:pPr>
            <w:r>
              <w:rPr>
                <w:sz w:val="21"/>
              </w:rPr>
              <w:t>（</w:t>
            </w:r>
            <w:r>
              <w:rPr>
                <w:spacing w:val="2"/>
                <w:sz w:val="21"/>
              </w:rPr>
              <w:t> </w:t>
            </w:r>
            <w:r>
              <w:rPr>
                <w:rFonts w:ascii="Times New Roman" w:eastAsia="Times New Roman"/>
                <w:sz w:val="21"/>
              </w:rPr>
              <w:t>2016-2020</w:t>
            </w:r>
          </w:p>
          <w:p>
            <w:pPr>
              <w:pStyle w:val="TableParagraph"/>
              <w:spacing w:line="251" w:lineRule="exact" w:before="12"/>
              <w:ind w:left="214"/>
              <w:rPr>
                <w:sz w:val="21"/>
              </w:rPr>
            </w:pPr>
            <w:r>
              <w:rPr>
                <w:w w:val="95"/>
                <w:sz w:val="21"/>
              </w:rPr>
              <w:t>年</w:t>
            </w:r>
            <w:r>
              <w:rPr>
                <w:spacing w:val="-104"/>
                <w:w w:val="95"/>
                <w:sz w:val="21"/>
              </w:rPr>
              <w:t>）</w:t>
            </w:r>
            <w:r>
              <w:rPr>
                <w:spacing w:val="-137"/>
                <w:w w:val="95"/>
                <w:sz w:val="21"/>
              </w:rPr>
              <w:t>》</w:t>
            </w:r>
            <w:r>
              <w:rPr>
                <w:w w:val="95"/>
                <w:sz w:val="21"/>
              </w:rPr>
              <w:t>（陕环发</w:t>
            </w:r>
          </w:p>
        </w:tc>
        <w:tc>
          <w:tcPr>
            <w:tcW w:w="4342" w:type="dxa"/>
            <w:tcBorders>
              <w:top w:val="nil"/>
              <w:left w:val="single" w:sz="4" w:space="0" w:color="000000"/>
              <w:bottom w:val="nil"/>
              <w:right w:val="single" w:sz="4" w:space="0" w:color="000000"/>
            </w:tcBorders>
          </w:tcPr>
          <w:p>
            <w:pPr>
              <w:pStyle w:val="TableParagraph"/>
              <w:spacing w:line="249" w:lineRule="auto" w:before="9"/>
              <w:ind w:left="106" w:right="97"/>
              <w:jc w:val="both"/>
              <w:rPr>
                <w:sz w:val="21"/>
              </w:rPr>
            </w:pPr>
            <w:r>
              <w:rPr>
                <w:spacing w:val="6"/>
                <w:w w:val="95"/>
                <w:sz w:val="21"/>
              </w:rPr>
              <w:t>化和涉重金属选矿企业选矿产生的含尾矿废</w:t>
            </w:r>
            <w:r>
              <w:rPr>
                <w:sz w:val="21"/>
              </w:rPr>
              <w:t>水情况。按照</w:t>
            </w:r>
            <w:r>
              <w:rPr>
                <w:rFonts w:ascii="Times New Roman" w:hAnsi="Times New Roman" w:eastAsia="Times New Roman"/>
                <w:spacing w:val="3"/>
                <w:sz w:val="21"/>
              </w:rPr>
              <w:t>“</w:t>
            </w:r>
            <w:r>
              <w:rPr>
                <w:sz w:val="21"/>
              </w:rPr>
              <w:t>谁污染、谁治理，谁破坏、谁</w:t>
            </w:r>
            <w:r>
              <w:rPr>
                <w:spacing w:val="2"/>
                <w:sz w:val="21"/>
              </w:rPr>
              <w:t>恢复</w:t>
            </w:r>
            <w:r>
              <w:rPr>
                <w:rFonts w:ascii="Times New Roman" w:hAnsi="Times New Roman" w:eastAsia="Times New Roman"/>
                <w:spacing w:val="3"/>
                <w:sz w:val="21"/>
              </w:rPr>
              <w:t>”</w:t>
            </w:r>
            <w:r>
              <w:rPr>
                <w:sz w:val="21"/>
              </w:rPr>
              <w:t>原则，严格执行矿山企业生态环境保护</w:t>
            </w:r>
          </w:p>
          <w:p>
            <w:pPr>
              <w:pStyle w:val="TableParagraph"/>
              <w:spacing w:line="251" w:lineRule="exact"/>
              <w:ind w:left="106"/>
              <w:rPr>
                <w:sz w:val="21"/>
              </w:rPr>
            </w:pPr>
            <w:r>
              <w:rPr>
                <w:spacing w:val="-9"/>
                <w:w w:val="95"/>
                <w:sz w:val="21"/>
              </w:rPr>
              <w:t>与恢复治理措施，严格按规定缴纳矿山地质环</w:t>
            </w:r>
          </w:p>
        </w:tc>
        <w:tc>
          <w:tcPr>
            <w:tcW w:w="2704" w:type="dxa"/>
            <w:tcBorders>
              <w:top w:val="nil"/>
              <w:left w:val="single" w:sz="4" w:space="0" w:color="000000"/>
              <w:bottom w:val="nil"/>
              <w:right w:val="single" w:sz="4" w:space="0" w:color="000000"/>
            </w:tcBorders>
          </w:tcPr>
          <w:p>
            <w:pPr>
              <w:pStyle w:val="TableParagraph"/>
              <w:rPr>
                <w:rFonts w:ascii="黑体"/>
                <w:sz w:val="20"/>
              </w:rPr>
            </w:pPr>
          </w:p>
          <w:p>
            <w:pPr>
              <w:pStyle w:val="TableParagraph"/>
              <w:spacing w:before="172"/>
              <w:ind w:left="108"/>
              <w:rPr>
                <w:sz w:val="21"/>
              </w:rPr>
            </w:pPr>
            <w:r>
              <w:rPr>
                <w:sz w:val="21"/>
              </w:rPr>
              <w:t>按照要求办理相关手续</w:t>
            </w:r>
          </w:p>
        </w:tc>
        <w:tc>
          <w:tcPr>
            <w:tcW w:w="956" w:type="dxa"/>
            <w:tcBorders>
              <w:top w:val="nil"/>
              <w:left w:val="single" w:sz="4" w:space="0" w:color="000000"/>
              <w:bottom w:val="nil"/>
              <w:right w:val="single" w:sz="4" w:space="0" w:color="000000"/>
            </w:tcBorders>
          </w:tcPr>
          <w:p>
            <w:pPr>
              <w:pStyle w:val="TableParagraph"/>
              <w:rPr>
                <w:rFonts w:ascii="黑体"/>
                <w:sz w:val="20"/>
              </w:rPr>
            </w:pPr>
          </w:p>
          <w:p>
            <w:pPr>
              <w:pStyle w:val="TableParagraph"/>
              <w:spacing w:before="172"/>
              <w:ind w:left="215"/>
              <w:rPr>
                <w:sz w:val="21"/>
              </w:rPr>
            </w:pPr>
            <w:r>
              <w:rPr>
                <w:sz w:val="21"/>
              </w:rPr>
              <w:t>符合</w:t>
            </w:r>
          </w:p>
        </w:tc>
      </w:tr>
      <w:tr>
        <w:trPr>
          <w:trHeight w:val="554" w:hRule="atLeast"/>
        </w:trPr>
        <w:tc>
          <w:tcPr>
            <w:tcW w:w="1553" w:type="dxa"/>
            <w:tcBorders>
              <w:top w:val="nil"/>
              <w:left w:val="single" w:sz="4" w:space="0" w:color="000000"/>
              <w:bottom w:val="nil"/>
              <w:right w:val="single" w:sz="4" w:space="0" w:color="000000"/>
            </w:tcBorders>
          </w:tcPr>
          <w:p>
            <w:pPr>
              <w:pStyle w:val="TableParagraph"/>
              <w:spacing w:before="7"/>
              <w:ind w:left="214"/>
              <w:rPr>
                <w:rFonts w:ascii="Times New Roman" w:eastAsia="Times New Roman"/>
                <w:sz w:val="21"/>
              </w:rPr>
            </w:pPr>
            <w:r>
              <w:rPr>
                <w:sz w:val="21"/>
              </w:rPr>
              <w:t>〔 </w:t>
            </w:r>
            <w:r>
              <w:rPr>
                <w:rFonts w:ascii="Times New Roman" w:eastAsia="Times New Roman"/>
                <w:sz w:val="21"/>
              </w:rPr>
              <w:t>2016 </w:t>
            </w:r>
            <w:r>
              <w:rPr>
                <w:sz w:val="21"/>
              </w:rPr>
              <w:t>〕 </w:t>
            </w:r>
            <w:r>
              <w:rPr>
                <w:rFonts w:ascii="Times New Roman" w:eastAsia="Times New Roman"/>
                <w:sz w:val="21"/>
              </w:rPr>
              <w:t>42</w:t>
            </w:r>
          </w:p>
          <w:p>
            <w:pPr>
              <w:pStyle w:val="TableParagraph"/>
              <w:spacing w:line="246" w:lineRule="exact" w:before="12"/>
              <w:ind w:left="214"/>
              <w:rPr>
                <w:sz w:val="21"/>
              </w:rPr>
            </w:pPr>
            <w:r>
              <w:rPr>
                <w:sz w:val="21"/>
              </w:rPr>
              <w:t>号）</w:t>
            </w:r>
          </w:p>
        </w:tc>
        <w:tc>
          <w:tcPr>
            <w:tcW w:w="4342" w:type="dxa"/>
            <w:tcBorders>
              <w:top w:val="nil"/>
              <w:left w:val="single" w:sz="4" w:space="0" w:color="000000"/>
              <w:bottom w:val="single" w:sz="4" w:space="0" w:color="000000"/>
              <w:right w:val="single" w:sz="4" w:space="0" w:color="000000"/>
            </w:tcBorders>
          </w:tcPr>
          <w:p>
            <w:pPr>
              <w:pStyle w:val="TableParagraph"/>
              <w:spacing w:before="7"/>
              <w:ind w:left="106"/>
              <w:rPr>
                <w:sz w:val="21"/>
              </w:rPr>
            </w:pPr>
            <w:r>
              <w:rPr>
                <w:sz w:val="21"/>
              </w:rPr>
              <w:t>境治理恢复保证金，严格落实矿山环境保护与</w:t>
            </w:r>
          </w:p>
          <w:p>
            <w:pPr>
              <w:pStyle w:val="TableParagraph"/>
              <w:spacing w:line="246" w:lineRule="exact" w:before="12"/>
              <w:ind w:left="106"/>
              <w:rPr>
                <w:sz w:val="21"/>
              </w:rPr>
            </w:pPr>
            <w:r>
              <w:rPr>
                <w:sz w:val="21"/>
              </w:rPr>
              <w:t>生态恢复治理工作。</w:t>
            </w:r>
          </w:p>
        </w:tc>
        <w:tc>
          <w:tcPr>
            <w:tcW w:w="270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312"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single" w:sz="4" w:space="0" w:color="000000"/>
              <w:left w:val="single" w:sz="4" w:space="0" w:color="000000"/>
              <w:bottom w:val="nil"/>
              <w:right w:val="single" w:sz="4" w:space="0" w:color="000000"/>
            </w:tcBorders>
          </w:tcPr>
          <w:p>
            <w:pPr>
              <w:pStyle w:val="TableParagraph"/>
              <w:spacing w:line="286" w:lineRule="exact" w:before="5"/>
              <w:ind w:left="106" w:right="-29"/>
              <w:rPr>
                <w:sz w:val="21"/>
              </w:rPr>
            </w:pPr>
            <w:r>
              <w:rPr>
                <w:b/>
                <w:sz w:val="24"/>
              </w:rPr>
              <w:t>（八</w:t>
            </w:r>
            <w:r>
              <w:rPr>
                <w:b/>
                <w:spacing w:val="-65"/>
                <w:sz w:val="24"/>
              </w:rPr>
              <w:t>）</w:t>
            </w:r>
            <w:r>
              <w:rPr>
                <w:b/>
                <w:spacing w:val="-7"/>
                <w:sz w:val="24"/>
              </w:rPr>
              <w:t>源头控制扬尘污染。</w:t>
            </w:r>
            <w:r>
              <w:rPr>
                <w:sz w:val="21"/>
              </w:rPr>
              <w:t>针对矿山开采、</w:t>
            </w:r>
          </w:p>
        </w:tc>
        <w:tc>
          <w:tcPr>
            <w:tcW w:w="270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7"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5" w:lineRule="exact" w:before="2"/>
              <w:ind w:left="106"/>
              <w:rPr>
                <w:sz w:val="21"/>
              </w:rPr>
            </w:pPr>
            <w:r>
              <w:rPr>
                <w:sz w:val="21"/>
              </w:rPr>
              <w:t>破碎、生产、堆放及装卸等过程中产生的粉尘</w:t>
            </w:r>
          </w:p>
        </w:tc>
        <w:tc>
          <w:tcPr>
            <w:tcW w:w="2704" w:type="dxa"/>
            <w:tcBorders>
              <w:top w:val="nil"/>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4" w:lineRule="exact" w:before="5"/>
              <w:ind w:left="106"/>
              <w:rPr>
                <w:sz w:val="21"/>
              </w:rPr>
            </w:pPr>
            <w:r>
              <w:rPr>
                <w:sz w:val="21"/>
              </w:rPr>
              <w:t>污染，严格落实扬尘污染治理措施。废渣、废</w:t>
            </w:r>
          </w:p>
        </w:tc>
        <w:tc>
          <w:tcPr>
            <w:tcW w:w="2704" w:type="dxa"/>
            <w:tcBorders>
              <w:top w:val="nil"/>
              <w:left w:val="single" w:sz="4" w:space="0" w:color="000000"/>
              <w:bottom w:val="nil"/>
              <w:right w:val="single" w:sz="4" w:space="0" w:color="000000"/>
            </w:tcBorders>
          </w:tcPr>
          <w:p>
            <w:pPr>
              <w:pStyle w:val="TableParagraph"/>
              <w:spacing w:line="254" w:lineRule="exact" w:before="5"/>
              <w:ind w:left="108"/>
              <w:rPr>
                <w:sz w:val="21"/>
              </w:rPr>
            </w:pPr>
            <w:r>
              <w:rPr>
                <w:sz w:val="21"/>
              </w:rPr>
              <w:t>评估要求矿区加强环境管</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5" w:lineRule="exact" w:before="4"/>
              <w:ind w:left="106"/>
              <w:rPr>
                <w:sz w:val="21"/>
              </w:rPr>
            </w:pPr>
            <w:r>
              <w:rPr>
                <w:sz w:val="21"/>
              </w:rPr>
              <w:t>料需集中规范堆存，修建挡土墙，并配置有效</w:t>
            </w:r>
          </w:p>
        </w:tc>
        <w:tc>
          <w:tcPr>
            <w:tcW w:w="2704" w:type="dxa"/>
            <w:tcBorders>
              <w:top w:val="nil"/>
              <w:left w:val="single" w:sz="4" w:space="0" w:color="000000"/>
              <w:bottom w:val="nil"/>
              <w:right w:val="single" w:sz="4" w:space="0" w:color="000000"/>
            </w:tcBorders>
          </w:tcPr>
          <w:p>
            <w:pPr>
              <w:pStyle w:val="TableParagraph"/>
              <w:spacing w:line="255" w:lineRule="exact" w:before="4"/>
              <w:ind w:left="108"/>
              <w:rPr>
                <w:sz w:val="21"/>
              </w:rPr>
            </w:pPr>
            <w:r>
              <w:rPr>
                <w:sz w:val="21"/>
              </w:rPr>
              <w:t>理，增加洒水次数；对临时</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80"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5" w:lineRule="exact" w:before="5"/>
              <w:ind w:left="106"/>
              <w:rPr>
                <w:sz w:val="21"/>
              </w:rPr>
            </w:pPr>
            <w:r>
              <w:rPr>
                <w:sz w:val="21"/>
              </w:rPr>
              <w:t>抑尘措施；矿区道路全程硬化，设立车辆进出</w:t>
            </w:r>
          </w:p>
        </w:tc>
        <w:tc>
          <w:tcPr>
            <w:tcW w:w="2704" w:type="dxa"/>
            <w:tcBorders>
              <w:top w:val="nil"/>
              <w:left w:val="single" w:sz="4" w:space="0" w:color="000000"/>
              <w:bottom w:val="nil"/>
              <w:right w:val="single" w:sz="4" w:space="0" w:color="000000"/>
            </w:tcBorders>
          </w:tcPr>
          <w:p>
            <w:pPr>
              <w:pStyle w:val="TableParagraph"/>
              <w:spacing w:line="255" w:lineRule="exact" w:before="5"/>
              <w:ind w:left="108"/>
              <w:rPr>
                <w:sz w:val="21"/>
              </w:rPr>
            </w:pPr>
            <w:r>
              <w:rPr>
                <w:sz w:val="21"/>
              </w:rPr>
              <w:t>弃渣场修建挡土坝， 并洒</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4" w:lineRule="exact" w:before="5"/>
              <w:ind w:left="106"/>
              <w:rPr>
                <w:sz w:val="21"/>
              </w:rPr>
            </w:pPr>
            <w:r>
              <w:rPr>
                <w:sz w:val="21"/>
              </w:rPr>
              <w:t>冲洗装置，加强运输道路的洒水和保洁，强化</w:t>
            </w:r>
          </w:p>
        </w:tc>
        <w:tc>
          <w:tcPr>
            <w:tcW w:w="2704" w:type="dxa"/>
            <w:tcBorders>
              <w:top w:val="nil"/>
              <w:left w:val="single" w:sz="4" w:space="0" w:color="000000"/>
              <w:bottom w:val="nil"/>
              <w:right w:val="single" w:sz="4" w:space="0" w:color="000000"/>
            </w:tcBorders>
          </w:tcPr>
          <w:p>
            <w:pPr>
              <w:pStyle w:val="TableParagraph"/>
              <w:spacing w:line="254" w:lineRule="exact" w:before="5"/>
              <w:ind w:left="108"/>
              <w:rPr>
                <w:sz w:val="21"/>
              </w:rPr>
            </w:pPr>
            <w:r>
              <w:rPr>
                <w:sz w:val="21"/>
              </w:rPr>
              <w:t>水；矿区道路为泥结碎石路</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5" w:lineRule="exact" w:before="4"/>
              <w:ind w:left="106"/>
              <w:rPr>
                <w:sz w:val="21"/>
              </w:rPr>
            </w:pPr>
            <w:r>
              <w:rPr>
                <w:sz w:val="21"/>
              </w:rPr>
              <w:t>矿区运输车辆管理，固定运输车辆，采取密闭</w:t>
            </w:r>
          </w:p>
        </w:tc>
        <w:tc>
          <w:tcPr>
            <w:tcW w:w="2704" w:type="dxa"/>
            <w:tcBorders>
              <w:top w:val="nil"/>
              <w:left w:val="single" w:sz="4" w:space="0" w:color="000000"/>
              <w:bottom w:val="nil"/>
              <w:right w:val="single" w:sz="4" w:space="0" w:color="000000"/>
            </w:tcBorders>
          </w:tcPr>
          <w:p>
            <w:pPr>
              <w:pStyle w:val="TableParagraph"/>
              <w:spacing w:line="255" w:lineRule="exact" w:before="4"/>
              <w:ind w:left="108"/>
              <w:rPr>
                <w:sz w:val="21"/>
              </w:rPr>
            </w:pPr>
            <w:r>
              <w:rPr>
                <w:w w:val="99"/>
                <w:sz w:val="21"/>
              </w:rPr>
              <w:t>面</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80" w:hRule="atLeast"/>
        </w:trPr>
        <w:tc>
          <w:tcPr>
            <w:tcW w:w="155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5" w:lineRule="exact" w:before="5"/>
              <w:ind w:left="106"/>
              <w:rPr>
                <w:sz w:val="21"/>
              </w:rPr>
            </w:pPr>
            <w:r>
              <w:rPr>
                <w:sz w:val="21"/>
              </w:rPr>
              <w:t>运输，严格控制运输车辆超载超限抛洒行为，</w:t>
            </w:r>
          </w:p>
        </w:tc>
        <w:tc>
          <w:tcPr>
            <w:tcW w:w="2704" w:type="dxa"/>
            <w:tcBorders>
              <w:top w:val="nil"/>
              <w:left w:val="single" w:sz="4" w:space="0" w:color="000000"/>
              <w:bottom w:val="nil"/>
              <w:right w:val="single" w:sz="4" w:space="0" w:color="000000"/>
            </w:tcBorders>
          </w:tcPr>
          <w:p>
            <w:pPr>
              <w:pStyle w:val="TableParagraph"/>
              <w:rPr>
                <w:rFonts w:ascii="Times New Roman"/>
                <w:sz w:val="20"/>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68" w:hRule="atLeast"/>
        </w:trPr>
        <w:tc>
          <w:tcPr>
            <w:tcW w:w="1553"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4342" w:type="dxa"/>
            <w:tcBorders>
              <w:top w:val="nil"/>
              <w:left w:val="single" w:sz="4" w:space="0" w:color="000000"/>
              <w:bottom w:val="single" w:sz="4" w:space="0" w:color="000000"/>
              <w:right w:val="single" w:sz="4" w:space="0" w:color="000000"/>
            </w:tcBorders>
          </w:tcPr>
          <w:p>
            <w:pPr>
              <w:pStyle w:val="TableParagraph"/>
              <w:spacing w:line="243" w:lineRule="exact" w:before="5"/>
              <w:ind w:left="106"/>
              <w:rPr>
                <w:sz w:val="21"/>
              </w:rPr>
            </w:pPr>
            <w:r>
              <w:rPr>
                <w:sz w:val="21"/>
              </w:rPr>
              <w:t>有效治理矿区道路扬尘。</w:t>
            </w:r>
          </w:p>
        </w:tc>
        <w:tc>
          <w:tcPr>
            <w:tcW w:w="2704"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956"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297" w:hRule="atLeast"/>
        </w:trPr>
        <w:tc>
          <w:tcPr>
            <w:tcW w:w="1553" w:type="dxa"/>
            <w:vMerge w:val="restart"/>
            <w:tcBorders>
              <w:left w:val="single" w:sz="4" w:space="0" w:color="000000"/>
              <w:bottom w:val="single" w:sz="12" w:space="0" w:color="000000"/>
              <w:right w:val="single" w:sz="4" w:space="0" w:color="000000"/>
            </w:tcBorders>
          </w:tcPr>
          <w:p>
            <w:pPr>
              <w:pStyle w:val="TableParagraph"/>
              <w:rPr>
                <w:rFonts w:ascii="Times New Roman"/>
                <w:sz w:val="22"/>
              </w:rPr>
            </w:pPr>
          </w:p>
        </w:tc>
        <w:tc>
          <w:tcPr>
            <w:tcW w:w="4342" w:type="dxa"/>
            <w:tcBorders>
              <w:left w:val="single" w:sz="4" w:space="0" w:color="000000"/>
              <w:bottom w:val="nil"/>
              <w:right w:val="single" w:sz="4" w:space="0" w:color="000000"/>
            </w:tcBorders>
          </w:tcPr>
          <w:p>
            <w:pPr>
              <w:pStyle w:val="TableParagraph"/>
              <w:spacing w:line="271" w:lineRule="exact" w:before="6"/>
              <w:ind w:left="106"/>
              <w:rPr>
                <w:sz w:val="21"/>
              </w:rPr>
            </w:pPr>
            <w:r>
              <w:rPr>
                <w:b/>
                <w:sz w:val="24"/>
              </w:rPr>
              <w:t>（九）严格控制矿山废水污染。</w:t>
            </w:r>
            <w:r>
              <w:rPr>
                <w:sz w:val="21"/>
              </w:rPr>
              <w:t>产生废石</w:t>
            </w:r>
          </w:p>
        </w:tc>
        <w:tc>
          <w:tcPr>
            <w:tcW w:w="2704" w:type="dxa"/>
            <w:tcBorders>
              <w:left w:val="single" w:sz="4" w:space="0" w:color="000000"/>
              <w:bottom w:val="nil"/>
              <w:right w:val="single" w:sz="4" w:space="0" w:color="000000"/>
            </w:tcBorders>
          </w:tcPr>
          <w:p>
            <w:pPr>
              <w:pStyle w:val="TableParagraph"/>
              <w:rPr>
                <w:rFonts w:ascii="Times New Roman"/>
                <w:sz w:val="22"/>
              </w:rPr>
            </w:pPr>
          </w:p>
        </w:tc>
        <w:tc>
          <w:tcPr>
            <w:tcW w:w="956" w:type="dxa"/>
            <w:vMerge w:val="restart"/>
            <w:tcBorders>
              <w:left w:val="single" w:sz="4" w:space="0" w:color="000000"/>
              <w:bottom w:val="single" w:sz="12" w:space="0" w:color="000000"/>
              <w:right w:val="single" w:sz="4" w:space="0" w:color="000000"/>
            </w:tcBorders>
          </w:tcPr>
          <w:p>
            <w:pPr>
              <w:pStyle w:val="TableParagraph"/>
              <w:rPr>
                <w:rFonts w:ascii="Times New Roman"/>
                <w:sz w:val="22"/>
              </w:rPr>
            </w:pPr>
          </w:p>
        </w:tc>
      </w:tr>
      <w:tr>
        <w:trPr>
          <w:trHeight w:val="246"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26" w:lineRule="exact"/>
              <w:ind w:left="106"/>
              <w:rPr>
                <w:sz w:val="21"/>
              </w:rPr>
            </w:pPr>
            <w:r>
              <w:rPr>
                <w:sz w:val="21"/>
              </w:rPr>
              <w:t>（废渣）的矿山开发、选矿及废渣综合利用企</w:t>
            </w:r>
          </w:p>
        </w:tc>
        <w:tc>
          <w:tcPr>
            <w:tcW w:w="2704" w:type="dxa"/>
            <w:tcBorders>
              <w:top w:val="nil"/>
              <w:left w:val="single" w:sz="4" w:space="0" w:color="000000"/>
              <w:bottom w:val="nil"/>
              <w:right w:val="single" w:sz="4" w:space="0" w:color="000000"/>
            </w:tcBorders>
          </w:tcPr>
          <w:p>
            <w:pPr>
              <w:pStyle w:val="TableParagraph"/>
              <w:rPr>
                <w:rFonts w:ascii="Times New Roman"/>
                <w:sz w:val="16"/>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业必须建设规范的堆场，对矿坑废水、选矿废</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810"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60" w:lineRule="exact"/>
              <w:ind w:left="106"/>
              <w:rPr>
                <w:sz w:val="21"/>
              </w:rPr>
            </w:pPr>
            <w:r>
              <w:rPr>
                <w:spacing w:val="-10"/>
                <w:w w:val="95"/>
                <w:sz w:val="21"/>
              </w:rPr>
              <w:t>水、堆场淋溶水、冲洗废水、生活污水等进行</w:t>
            </w:r>
          </w:p>
          <w:p>
            <w:pPr>
              <w:pStyle w:val="TableParagraph"/>
              <w:spacing w:line="280" w:lineRule="atLeast"/>
              <w:ind w:left="106" w:right="95"/>
              <w:rPr>
                <w:sz w:val="21"/>
              </w:rPr>
            </w:pPr>
            <w:r>
              <w:rPr>
                <w:spacing w:val="-9"/>
                <w:sz w:val="21"/>
              </w:rPr>
              <w:t>全收集、全处理。严禁采用渗井、废坑、废矿</w:t>
            </w:r>
            <w:r>
              <w:rPr>
                <w:spacing w:val="-5"/>
                <w:w w:val="95"/>
                <w:sz w:val="21"/>
              </w:rPr>
              <w:t>井或净水稀释等手段排放有毒、有害废水。存</w:t>
            </w:r>
          </w:p>
        </w:tc>
        <w:tc>
          <w:tcPr>
            <w:tcW w:w="2704" w:type="dxa"/>
            <w:tcBorders>
              <w:top w:val="nil"/>
              <w:left w:val="single" w:sz="4" w:space="0" w:color="000000"/>
              <w:bottom w:val="nil"/>
              <w:right w:val="single" w:sz="4" w:space="0" w:color="000000"/>
            </w:tcBorders>
          </w:tcPr>
          <w:p>
            <w:pPr>
              <w:pStyle w:val="TableParagraph"/>
              <w:spacing w:line="249" w:lineRule="auto" w:before="129"/>
              <w:ind w:left="108" w:right="96"/>
              <w:rPr>
                <w:sz w:val="21"/>
              </w:rPr>
            </w:pPr>
            <w:r>
              <w:rPr>
                <w:sz w:val="21"/>
              </w:rPr>
              <w:t>生活污水利用砖厂化粪池处理。</w:t>
            </w: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0"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21" w:lineRule="exact"/>
              <w:ind w:left="106"/>
              <w:rPr>
                <w:sz w:val="21"/>
              </w:rPr>
            </w:pPr>
            <w:r>
              <w:rPr>
                <w:sz w:val="21"/>
              </w:rPr>
              <w:t>放含有毒、有害物质的废水、废液的淋浸池、</w:t>
            </w:r>
          </w:p>
        </w:tc>
        <w:tc>
          <w:tcPr>
            <w:tcW w:w="2704" w:type="dxa"/>
            <w:tcBorders>
              <w:top w:val="nil"/>
              <w:left w:val="single" w:sz="4" w:space="0" w:color="000000"/>
              <w:bottom w:val="nil"/>
              <w:right w:val="single" w:sz="4" w:space="0" w:color="000000"/>
            </w:tcBorders>
          </w:tcPr>
          <w:p>
            <w:pPr>
              <w:pStyle w:val="TableParagraph"/>
              <w:rPr>
                <w:rFonts w:ascii="Times New Roman"/>
                <w:sz w:val="16"/>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贮存池、沉淀池必须采取防腐、防渗漏、防流</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55"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single" w:sz="12" w:space="0" w:color="000000"/>
              <w:right w:val="single" w:sz="4" w:space="0" w:color="000000"/>
            </w:tcBorders>
          </w:tcPr>
          <w:p>
            <w:pPr>
              <w:pStyle w:val="TableParagraph"/>
              <w:spacing w:line="236" w:lineRule="exact"/>
              <w:ind w:left="106"/>
              <w:rPr>
                <w:sz w:val="21"/>
              </w:rPr>
            </w:pPr>
            <w:r>
              <w:rPr>
                <w:sz w:val="21"/>
              </w:rPr>
              <w:t>失等措施。</w:t>
            </w:r>
          </w:p>
        </w:tc>
        <w:tc>
          <w:tcPr>
            <w:tcW w:w="2704" w:type="dxa"/>
            <w:tcBorders>
              <w:top w:val="nil"/>
              <w:left w:val="single" w:sz="4" w:space="0" w:color="000000"/>
              <w:bottom w:val="single" w:sz="12" w:space="0" w:color="000000"/>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11717" w:hRule="atLeast"/>
        </w:trPr>
        <w:tc>
          <w:tcPr>
            <w:tcW w:w="9555" w:type="dxa"/>
            <w:gridSpan w:val="4"/>
            <w:tcBorders>
              <w:top w:val="single" w:sz="12" w:space="0" w:color="000000"/>
              <w:left w:val="single" w:sz="4" w:space="0" w:color="000000"/>
              <w:bottom w:val="single" w:sz="4" w:space="0" w:color="000000"/>
              <w:right w:val="single" w:sz="4" w:space="0" w:color="000000"/>
            </w:tcBorders>
          </w:tcPr>
          <w:p>
            <w:pPr>
              <w:pStyle w:val="TableParagraph"/>
              <w:spacing w:before="129"/>
              <w:ind w:left="586"/>
              <w:rPr>
                <w:sz w:val="24"/>
              </w:rPr>
            </w:pPr>
            <w:r>
              <w:rPr>
                <w:sz w:val="24"/>
              </w:rPr>
              <w:t>由上表可知，本项目选址符合各相关政策与规划，项目选址符合要求。</w:t>
            </w:r>
          </w:p>
          <w:p>
            <w:pPr>
              <w:pStyle w:val="TableParagraph"/>
              <w:spacing w:before="153"/>
              <w:ind w:left="586"/>
              <w:rPr>
                <w:sz w:val="24"/>
              </w:rPr>
            </w:pPr>
            <w:r>
              <w:rPr>
                <w:sz w:val="24"/>
              </w:rPr>
              <w:t>（</w:t>
            </w:r>
            <w:r>
              <w:rPr>
                <w:rFonts w:ascii="Times New Roman" w:hAnsi="Times New Roman" w:eastAsia="Times New Roman"/>
                <w:sz w:val="24"/>
              </w:rPr>
              <w:t>3</w:t>
            </w:r>
            <w:r>
              <w:rPr>
                <w:sz w:val="24"/>
              </w:rPr>
              <w:t>）</w:t>
            </w:r>
            <w:r>
              <w:rPr>
                <w:rFonts w:ascii="Times New Roman" w:hAnsi="Times New Roman" w:eastAsia="Times New Roman"/>
                <w:sz w:val="24"/>
              </w:rPr>
              <w:t>“</w:t>
            </w:r>
            <w:r>
              <w:rPr>
                <w:sz w:val="24"/>
              </w:rPr>
              <w:t>三线一单</w:t>
            </w:r>
            <w:r>
              <w:rPr>
                <w:rFonts w:ascii="Times New Roman" w:hAnsi="Times New Roman" w:eastAsia="Times New Roman"/>
                <w:sz w:val="24"/>
              </w:rPr>
              <w:t>”</w:t>
            </w:r>
            <w:r>
              <w:rPr>
                <w:sz w:val="24"/>
              </w:rPr>
              <w:t>符合性分析</w:t>
            </w:r>
          </w:p>
          <w:p>
            <w:pPr>
              <w:pStyle w:val="TableParagraph"/>
              <w:spacing w:line="360" w:lineRule="auto" w:before="151"/>
              <w:ind w:left="106" w:right="92" w:firstLine="480"/>
              <w:jc w:val="both"/>
              <w:rPr>
                <w:sz w:val="24"/>
              </w:rPr>
            </w:pPr>
            <w:r>
              <w:rPr>
                <w:spacing w:val="-5"/>
                <w:sz w:val="24"/>
              </w:rPr>
              <w:t>根据环保部《关于以改善环境质量为核心加强环境影响评价管理的通知》要求，切实</w:t>
            </w:r>
            <w:r>
              <w:rPr>
                <w:spacing w:val="-13"/>
                <w:sz w:val="24"/>
              </w:rPr>
              <w:t>加强环境管理，落实</w:t>
            </w:r>
            <w:r>
              <w:rPr>
                <w:rFonts w:ascii="Times New Roman" w:hAnsi="Times New Roman" w:eastAsia="Times New Roman"/>
                <w:sz w:val="24"/>
              </w:rPr>
              <w:t>“</w:t>
            </w:r>
            <w:r>
              <w:rPr>
                <w:spacing w:val="-16"/>
                <w:sz w:val="24"/>
              </w:rPr>
              <w:t>生态保护红线、环境质量底线、资源利用上线和环境准入负面清单</w:t>
            </w:r>
            <w:r>
              <w:rPr>
                <w:rFonts w:ascii="Times New Roman" w:hAnsi="Times New Roman" w:eastAsia="Times New Roman"/>
                <w:sz w:val="24"/>
              </w:rPr>
              <w:t>”(</w:t>
            </w:r>
            <w:r>
              <w:rPr>
                <w:spacing w:val="-13"/>
                <w:sz w:val="24"/>
              </w:rPr>
              <w:t>简</w:t>
            </w:r>
            <w:r>
              <w:rPr>
                <w:sz w:val="24"/>
              </w:rPr>
              <w:t>称</w:t>
            </w:r>
            <w:r>
              <w:rPr>
                <w:rFonts w:ascii="Times New Roman" w:hAnsi="Times New Roman" w:eastAsia="Times New Roman"/>
                <w:sz w:val="24"/>
              </w:rPr>
              <w:t>“</w:t>
            </w:r>
            <w:r>
              <w:rPr>
                <w:sz w:val="24"/>
              </w:rPr>
              <w:t>三线一单</w:t>
            </w:r>
            <w:r>
              <w:rPr>
                <w:rFonts w:ascii="Times New Roman" w:hAnsi="Times New Roman" w:eastAsia="Times New Roman"/>
                <w:sz w:val="24"/>
              </w:rPr>
              <w:t>”)</w:t>
            </w:r>
            <w:r>
              <w:rPr>
                <w:spacing w:val="-9"/>
                <w:sz w:val="24"/>
              </w:rPr>
              <w:t>约束，建立项目环评审批与规划环评、现有项目环境管理、区域环境质量联</w:t>
            </w:r>
            <w:r>
              <w:rPr>
                <w:spacing w:val="-5"/>
                <w:sz w:val="24"/>
              </w:rPr>
              <w:t>动机制，更好地发挥环评制度从源头防范环境污染和生态破坏的作用，加快推进改善环境</w:t>
            </w:r>
            <w:r>
              <w:rPr>
                <w:sz w:val="24"/>
              </w:rPr>
              <w:t>质量。本项目与</w:t>
            </w:r>
            <w:r>
              <w:rPr>
                <w:rFonts w:ascii="Times New Roman" w:hAnsi="Times New Roman" w:eastAsia="Times New Roman"/>
                <w:sz w:val="24"/>
              </w:rPr>
              <w:t>“</w:t>
            </w:r>
            <w:r>
              <w:rPr>
                <w:sz w:val="24"/>
              </w:rPr>
              <w:t>三线一单</w:t>
            </w:r>
            <w:r>
              <w:rPr>
                <w:rFonts w:ascii="Times New Roman" w:hAnsi="Times New Roman" w:eastAsia="Times New Roman"/>
                <w:sz w:val="24"/>
              </w:rPr>
              <w:t>”</w:t>
            </w:r>
            <w:r>
              <w:rPr>
                <w:spacing w:val="-7"/>
                <w:sz w:val="24"/>
              </w:rPr>
              <w:t>的符合性分析见表 </w:t>
            </w:r>
            <w:r>
              <w:rPr>
                <w:rFonts w:ascii="Times New Roman" w:hAnsi="Times New Roman" w:eastAsia="Times New Roman"/>
                <w:sz w:val="24"/>
              </w:rPr>
              <w:t>1.2</w:t>
            </w:r>
            <w:r>
              <w:rPr>
                <w:sz w:val="24"/>
              </w:rPr>
              <w:t>。</w:t>
            </w:r>
          </w:p>
          <w:p>
            <w:pPr>
              <w:pStyle w:val="TableParagraph"/>
              <w:spacing w:line="303" w:lineRule="exact"/>
              <w:ind w:left="2437"/>
              <w:jc w:val="both"/>
              <w:rPr>
                <w:b/>
                <w:sz w:val="24"/>
              </w:rPr>
            </w:pPr>
            <w:r>
              <w:rPr>
                <w:b/>
                <w:sz w:val="24"/>
              </w:rPr>
              <w:t>表 </w:t>
            </w:r>
            <w:r>
              <w:rPr>
                <w:rFonts w:ascii="Times New Roman" w:hAnsi="Times New Roman" w:eastAsia="Times New Roman"/>
                <w:b/>
                <w:sz w:val="24"/>
              </w:rPr>
              <w:t>1.2  </w:t>
            </w:r>
            <w:r>
              <w:rPr>
                <w:b/>
                <w:sz w:val="24"/>
              </w:rPr>
              <w:t>本项目与</w:t>
            </w:r>
            <w:r>
              <w:rPr>
                <w:rFonts w:ascii="Times New Roman" w:hAnsi="Times New Roman" w:eastAsia="Times New Roman"/>
                <w:b/>
                <w:sz w:val="24"/>
              </w:rPr>
              <w:t>“</w:t>
            </w:r>
            <w:r>
              <w:rPr>
                <w:b/>
                <w:sz w:val="24"/>
              </w:rPr>
              <w:t>三线一单</w:t>
            </w:r>
            <w:r>
              <w:rPr>
                <w:rFonts w:ascii="Times New Roman" w:hAnsi="Times New Roman" w:eastAsia="Times New Roman"/>
                <w:b/>
                <w:sz w:val="24"/>
              </w:rPr>
              <w:t>”</w:t>
            </w:r>
            <w:r>
              <w:rPr>
                <w:b/>
                <w:sz w:val="24"/>
              </w:rPr>
              <w:t>的符合性分析表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6"/>
              <w:rPr>
                <w:rFonts w:ascii="黑体"/>
                <w:sz w:val="36"/>
              </w:rPr>
            </w:pPr>
          </w:p>
          <w:p>
            <w:pPr>
              <w:pStyle w:val="TableParagraph"/>
              <w:ind w:left="586"/>
              <w:rPr>
                <w:sz w:val="24"/>
              </w:rPr>
            </w:pPr>
            <w:r>
              <w:rPr>
                <w:rFonts w:ascii="Times New Roman" w:eastAsia="Times New Roman"/>
                <w:sz w:val="24"/>
              </w:rPr>
              <w:t>3</w:t>
            </w:r>
            <w:r>
              <w:rPr>
                <w:sz w:val="24"/>
              </w:rPr>
              <w:t>、评价工作过程</w:t>
            </w:r>
          </w:p>
          <w:p>
            <w:pPr>
              <w:pStyle w:val="TableParagraph"/>
              <w:spacing w:line="360" w:lineRule="auto" w:before="151"/>
              <w:ind w:left="106" w:right="-29" w:firstLine="480"/>
              <w:rPr>
                <w:sz w:val="24"/>
              </w:rPr>
            </w:pPr>
            <w:r>
              <w:rPr>
                <w:spacing w:val="-1"/>
                <w:sz w:val="24"/>
              </w:rPr>
              <w:t>我单位接受委托后立即组织专业技术人员对项目现场进行了踏勘和调查，收集了相关</w:t>
            </w:r>
            <w:r>
              <w:rPr>
                <w:spacing w:val="-12"/>
                <w:sz w:val="24"/>
              </w:rPr>
              <w:t>基础资料，针对项目可能涉及的污染问题及生态破坏，从工程角度和环境角度进行了分析， </w:t>
            </w:r>
            <w:r>
              <w:rPr>
                <w:spacing w:val="-1"/>
                <w:sz w:val="24"/>
              </w:rPr>
              <w:t>并对工程中的污染问题提出了相应的防治对策和管理措施，对工程可能带来的环境影响做</w:t>
            </w:r>
            <w:r>
              <w:rPr>
                <w:spacing w:val="-5"/>
                <w:sz w:val="24"/>
              </w:rPr>
              <w:t>出客观的论述。在此基础上，依据国家环境保护法律法规、标准及技术规范，编制完成了</w:t>
            </w:r>
          </w:p>
          <w:p>
            <w:pPr>
              <w:pStyle w:val="TableParagraph"/>
              <w:spacing w:line="360" w:lineRule="auto"/>
              <w:ind w:left="106" w:right="97"/>
              <w:rPr>
                <w:sz w:val="24"/>
              </w:rPr>
            </w:pPr>
            <w:r>
              <w:rPr>
                <w:sz w:val="24"/>
              </w:rPr>
              <w:t>《安康市汉滨区鑫平新型建材有限公司金坑村沟南砖瓦用页岩矿开采项目环境影响报告表》。</w:t>
            </w:r>
          </w:p>
          <w:p>
            <w:pPr>
              <w:pStyle w:val="TableParagraph"/>
              <w:spacing w:line="304" w:lineRule="exact"/>
              <w:ind w:left="586"/>
              <w:rPr>
                <w:b/>
                <w:sz w:val="24"/>
              </w:rPr>
            </w:pPr>
            <w:r>
              <w:rPr>
                <w:rFonts w:ascii="Times New Roman" w:eastAsia="Times New Roman"/>
                <w:b/>
                <w:sz w:val="24"/>
              </w:rPr>
              <w:t>1.1.2 </w:t>
            </w:r>
            <w:r>
              <w:rPr>
                <w:b/>
                <w:sz w:val="24"/>
              </w:rPr>
              <w:t>矿区地理位置</w:t>
            </w:r>
          </w:p>
          <w:p>
            <w:pPr>
              <w:pStyle w:val="TableParagraph"/>
              <w:spacing w:before="149"/>
              <w:ind w:left="586" w:right="-29"/>
              <w:rPr>
                <w:sz w:val="24"/>
              </w:rPr>
            </w:pPr>
            <w:r>
              <w:rPr>
                <w:spacing w:val="-3"/>
                <w:sz w:val="24"/>
              </w:rPr>
              <w:t>金坑村沟南砖瓦用页岩矿位于汉滨区 </w:t>
            </w:r>
            <w:r>
              <w:rPr>
                <w:rFonts w:ascii="Times New Roman" w:hAnsi="Times New Roman" w:eastAsia="Times New Roman"/>
                <w:sz w:val="24"/>
              </w:rPr>
              <w:t>285°</w:t>
            </w:r>
            <w:r>
              <w:rPr>
                <w:spacing w:val="-5"/>
                <w:sz w:val="24"/>
              </w:rPr>
              <w:t>方位，距安康市区约 </w:t>
            </w:r>
            <w:r>
              <w:rPr>
                <w:rFonts w:ascii="Times New Roman" w:hAnsi="Times New Roman" w:eastAsia="Times New Roman"/>
                <w:sz w:val="24"/>
              </w:rPr>
              <w:t>25.6km</w:t>
            </w:r>
            <w:r>
              <w:rPr>
                <w:sz w:val="24"/>
              </w:rPr>
              <w:t>，开采区中心</w:t>
            </w:r>
          </w:p>
          <w:p>
            <w:pPr>
              <w:pStyle w:val="TableParagraph"/>
              <w:spacing w:line="460" w:lineRule="atLeast" w:before="1"/>
              <w:ind w:left="106" w:right="-29"/>
              <w:rPr>
                <w:sz w:val="24"/>
              </w:rPr>
            </w:pPr>
            <w:r>
              <w:rPr>
                <w:spacing w:val="-15"/>
                <w:sz w:val="24"/>
              </w:rPr>
              <w:t>位置东经 </w:t>
            </w:r>
            <w:r>
              <w:rPr>
                <w:rFonts w:ascii="Times New Roman" w:hAnsi="Times New Roman" w:eastAsia="Times New Roman"/>
                <w:sz w:val="24"/>
              </w:rPr>
              <w:t>108°44′39.13"</w:t>
            </w:r>
            <w:r>
              <w:rPr>
                <w:spacing w:val="-19"/>
                <w:sz w:val="24"/>
              </w:rPr>
              <w:t>，北纬 </w:t>
            </w:r>
            <w:r>
              <w:rPr>
                <w:rFonts w:ascii="Times New Roman" w:hAnsi="Times New Roman" w:eastAsia="Times New Roman"/>
                <w:sz w:val="24"/>
              </w:rPr>
              <w:t>32°45′25.81"</w:t>
            </w:r>
            <w:r>
              <w:rPr>
                <w:spacing w:val="-1"/>
                <w:sz w:val="24"/>
              </w:rPr>
              <w:t>，行政区划隶属安康市恒口示范区金坑村管辖， </w:t>
            </w:r>
            <w:r>
              <w:rPr>
                <w:spacing w:val="-12"/>
                <w:sz w:val="24"/>
              </w:rPr>
              <w:t>矿区南距 </w:t>
            </w:r>
            <w:r>
              <w:rPr>
                <w:rFonts w:ascii="Times New Roman" w:hAnsi="Times New Roman" w:eastAsia="Times New Roman"/>
                <w:sz w:val="24"/>
              </w:rPr>
              <w:t>316 </w:t>
            </w:r>
            <w:r>
              <w:rPr>
                <w:spacing w:val="-20"/>
                <w:sz w:val="24"/>
              </w:rPr>
              <w:t>国道 </w:t>
            </w:r>
            <w:r>
              <w:rPr>
                <w:rFonts w:ascii="Times New Roman" w:hAnsi="Times New Roman" w:eastAsia="Times New Roman"/>
                <w:sz w:val="24"/>
              </w:rPr>
              <w:t>0.6 </w:t>
            </w:r>
            <w:r>
              <w:rPr>
                <w:sz w:val="24"/>
              </w:rPr>
              <w:t>公里，通往市区和恒口示范区有柏油公路与主干公路相连。</w:t>
            </w:r>
          </w:p>
        </w:tc>
      </w:tr>
    </w:tbl>
    <w:p>
      <w:pPr>
        <w:rPr>
          <w:sz w:val="2"/>
          <w:szCs w:val="2"/>
        </w:rPr>
      </w:pPr>
      <w:r>
        <w:rPr/>
        <w:pict>
          <v:shape style="position:absolute;margin-left:68.230003pt;margin-top:375.850006pt;width:465.2pt;height:148.9pt;mso-position-horizontal-relative:page;mso-position-vertical-relative:page;z-index:251659264"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68"/>
                    <w:gridCol w:w="6222"/>
                    <w:gridCol w:w="1070"/>
                  </w:tblGrid>
                  <w:tr>
                    <w:trPr>
                      <w:trHeight w:val="338" w:hRule="atLeast"/>
                    </w:trPr>
                    <w:tc>
                      <w:tcPr>
                        <w:tcW w:w="1968" w:type="dxa"/>
                        <w:tcBorders>
                          <w:left w:val="nil"/>
                          <w:right w:val="single" w:sz="4" w:space="0" w:color="000000"/>
                        </w:tcBorders>
                      </w:tcPr>
                      <w:p>
                        <w:pPr>
                          <w:pStyle w:val="TableParagraph"/>
                          <w:spacing w:before="44"/>
                          <w:ind w:left="138" w:right="104"/>
                          <w:jc w:val="center"/>
                          <w:rPr>
                            <w:rFonts w:ascii="Times New Roman" w:hAnsi="Times New Roman" w:eastAsia="Times New Roman"/>
                            <w:sz w:val="21"/>
                          </w:rPr>
                        </w:pPr>
                        <w:r>
                          <w:rPr>
                            <w:rFonts w:ascii="Times New Roman" w:hAnsi="Times New Roman" w:eastAsia="Times New Roman"/>
                            <w:sz w:val="21"/>
                          </w:rPr>
                          <w:t>“</w:t>
                        </w:r>
                        <w:r>
                          <w:rPr>
                            <w:sz w:val="21"/>
                          </w:rPr>
                          <w:t>三线一单</w:t>
                        </w:r>
                        <w:r>
                          <w:rPr>
                            <w:rFonts w:ascii="Times New Roman" w:hAnsi="Times New Roman" w:eastAsia="Times New Roman"/>
                            <w:sz w:val="21"/>
                          </w:rPr>
                          <w:t>”</w:t>
                        </w:r>
                      </w:p>
                    </w:tc>
                    <w:tc>
                      <w:tcPr>
                        <w:tcW w:w="6222" w:type="dxa"/>
                        <w:tcBorders>
                          <w:left w:val="single" w:sz="4" w:space="0" w:color="000000"/>
                          <w:right w:val="single" w:sz="4" w:space="0" w:color="000000"/>
                        </w:tcBorders>
                      </w:tcPr>
                      <w:p>
                        <w:pPr>
                          <w:pStyle w:val="TableParagraph"/>
                          <w:spacing w:before="44"/>
                          <w:ind w:left="2785" w:right="2756"/>
                          <w:jc w:val="center"/>
                          <w:rPr>
                            <w:sz w:val="21"/>
                          </w:rPr>
                        </w:pPr>
                        <w:r>
                          <w:rPr>
                            <w:sz w:val="21"/>
                          </w:rPr>
                          <w:t>本项目</w:t>
                        </w:r>
                      </w:p>
                    </w:tc>
                    <w:tc>
                      <w:tcPr>
                        <w:tcW w:w="1070" w:type="dxa"/>
                        <w:tcBorders>
                          <w:left w:val="single" w:sz="4" w:space="0" w:color="000000"/>
                          <w:right w:val="nil"/>
                        </w:tcBorders>
                      </w:tcPr>
                      <w:p>
                        <w:pPr>
                          <w:pStyle w:val="TableParagraph"/>
                          <w:spacing w:before="44"/>
                          <w:ind w:left="209" w:right="186"/>
                          <w:jc w:val="center"/>
                          <w:rPr>
                            <w:sz w:val="21"/>
                          </w:rPr>
                        </w:pPr>
                        <w:r>
                          <w:rPr>
                            <w:sz w:val="21"/>
                          </w:rPr>
                          <w:t>相符性</w:t>
                        </w:r>
                      </w:p>
                    </w:tc>
                  </w:tr>
                  <w:tr>
                    <w:trPr>
                      <w:trHeight w:val="560" w:hRule="atLeast"/>
                    </w:trPr>
                    <w:tc>
                      <w:tcPr>
                        <w:tcW w:w="1968" w:type="dxa"/>
                        <w:tcBorders>
                          <w:left w:val="nil"/>
                          <w:bottom w:val="single" w:sz="4" w:space="0" w:color="000000"/>
                          <w:right w:val="single" w:sz="4" w:space="0" w:color="000000"/>
                        </w:tcBorders>
                      </w:tcPr>
                      <w:p>
                        <w:pPr>
                          <w:pStyle w:val="TableParagraph"/>
                          <w:spacing w:before="155"/>
                          <w:ind w:left="136" w:right="105"/>
                          <w:jc w:val="center"/>
                          <w:rPr>
                            <w:sz w:val="21"/>
                          </w:rPr>
                        </w:pPr>
                        <w:r>
                          <w:rPr>
                            <w:sz w:val="21"/>
                          </w:rPr>
                          <w:t>生态保护红线</w:t>
                        </w:r>
                      </w:p>
                    </w:tc>
                    <w:tc>
                      <w:tcPr>
                        <w:tcW w:w="6222" w:type="dxa"/>
                        <w:tcBorders>
                          <w:left w:val="single" w:sz="4" w:space="0" w:color="000000"/>
                          <w:bottom w:val="single" w:sz="4" w:space="0" w:color="000000"/>
                          <w:right w:val="single" w:sz="4" w:space="0" w:color="000000"/>
                        </w:tcBorders>
                      </w:tcPr>
                      <w:p>
                        <w:pPr>
                          <w:pStyle w:val="TableParagraph"/>
                          <w:spacing w:line="280" w:lineRule="atLeast" w:before="3"/>
                          <w:ind w:left="118" w:right="-29"/>
                          <w:rPr>
                            <w:sz w:val="21"/>
                          </w:rPr>
                        </w:pPr>
                        <w:r>
                          <w:rPr>
                            <w:sz w:val="21"/>
                          </w:rPr>
                          <w:t>项目位于汉滨区恒口镇金坑村，周边无自然保护区、风景名胜区、</w:t>
                        </w:r>
                        <w:r>
                          <w:rPr>
                            <w:spacing w:val="-16"/>
                            <w:sz w:val="21"/>
                          </w:rPr>
                          <w:t>森林公园、饮用水保护区等生态保护目标，符合生态保护红线要求。</w:t>
                        </w:r>
                      </w:p>
                    </w:tc>
                    <w:tc>
                      <w:tcPr>
                        <w:tcW w:w="1070" w:type="dxa"/>
                        <w:tcBorders>
                          <w:left w:val="single" w:sz="4" w:space="0" w:color="000000"/>
                          <w:bottom w:val="single" w:sz="4" w:space="0" w:color="000000"/>
                          <w:right w:val="nil"/>
                        </w:tcBorders>
                      </w:tcPr>
                      <w:p>
                        <w:pPr>
                          <w:pStyle w:val="TableParagraph"/>
                          <w:spacing w:before="155"/>
                          <w:ind w:left="205" w:right="186"/>
                          <w:jc w:val="center"/>
                          <w:rPr>
                            <w:sz w:val="21"/>
                          </w:rPr>
                        </w:pPr>
                        <w:r>
                          <w:rPr>
                            <w:sz w:val="21"/>
                          </w:rPr>
                          <w:t>符合</w:t>
                        </w:r>
                      </w:p>
                    </w:tc>
                  </w:tr>
                  <w:tr>
                    <w:trPr>
                      <w:trHeight w:val="1117" w:hRule="atLeast"/>
                    </w:trPr>
                    <w:tc>
                      <w:tcPr>
                        <w:tcW w:w="1968" w:type="dxa"/>
                        <w:tcBorders>
                          <w:top w:val="single" w:sz="4" w:space="0" w:color="000000"/>
                          <w:left w:val="nil"/>
                          <w:bottom w:val="single" w:sz="4" w:space="0" w:color="000000"/>
                          <w:right w:val="single" w:sz="4" w:space="0" w:color="000000"/>
                        </w:tcBorders>
                      </w:tcPr>
                      <w:p>
                        <w:pPr>
                          <w:pStyle w:val="TableParagraph"/>
                          <w:rPr>
                            <w:rFonts w:ascii="黑体"/>
                            <w:sz w:val="20"/>
                          </w:rPr>
                        </w:pPr>
                      </w:p>
                      <w:p>
                        <w:pPr>
                          <w:pStyle w:val="TableParagraph"/>
                          <w:spacing w:before="176"/>
                          <w:ind w:left="136" w:right="105"/>
                          <w:jc w:val="center"/>
                          <w:rPr>
                            <w:sz w:val="21"/>
                          </w:rPr>
                        </w:pPr>
                        <w:r>
                          <w:rPr>
                            <w:sz w:val="21"/>
                          </w:rPr>
                          <w:t>环境质量底线</w:t>
                        </w:r>
                      </w:p>
                    </w:tc>
                    <w:tc>
                      <w:tcPr>
                        <w:tcW w:w="6222" w:type="dxa"/>
                        <w:tcBorders>
                          <w:top w:val="single" w:sz="4" w:space="0" w:color="000000"/>
                          <w:left w:val="single" w:sz="4" w:space="0" w:color="000000"/>
                          <w:bottom w:val="single" w:sz="4" w:space="0" w:color="000000"/>
                          <w:right w:val="single" w:sz="4" w:space="0" w:color="000000"/>
                        </w:tcBorders>
                      </w:tcPr>
                      <w:p>
                        <w:pPr>
                          <w:pStyle w:val="TableParagraph"/>
                          <w:spacing w:line="247" w:lineRule="auto" w:before="12"/>
                          <w:ind w:left="118" w:right="86"/>
                          <w:rPr>
                            <w:sz w:val="21"/>
                          </w:rPr>
                        </w:pPr>
                        <w:r>
                          <w:rPr>
                            <w:spacing w:val="-5"/>
                            <w:w w:val="95"/>
                            <w:sz w:val="21"/>
                          </w:rPr>
                          <w:t>评价区环境空气质量现状总体未达到《环境空气质量标准》二级标 </w:t>
                        </w:r>
                        <w:r>
                          <w:rPr>
                            <w:spacing w:val="-5"/>
                            <w:sz w:val="21"/>
                          </w:rPr>
                          <w:t>准；昼夜等效声级均符合《声环境质量标准》</w:t>
                        </w:r>
                        <w:r>
                          <w:rPr>
                            <w:rFonts w:ascii="Times New Roman" w:eastAsia="Times New Roman"/>
                            <w:spacing w:val="-5"/>
                            <w:sz w:val="21"/>
                          </w:rPr>
                          <w:t>2 </w:t>
                        </w:r>
                        <w:r>
                          <w:rPr>
                            <w:sz w:val="21"/>
                          </w:rPr>
                          <w:t>类标准。</w:t>
                        </w:r>
                      </w:p>
                      <w:p>
                        <w:pPr>
                          <w:pStyle w:val="TableParagraph"/>
                          <w:spacing w:before="5"/>
                          <w:ind w:left="118"/>
                          <w:rPr>
                            <w:sz w:val="21"/>
                          </w:rPr>
                        </w:pPr>
                        <w:r>
                          <w:rPr>
                            <w:spacing w:val="-14"/>
                            <w:sz w:val="21"/>
                          </w:rPr>
                          <w:t>通过环境影响分析，项目运营期采取环评要求的措施能够合理处置各</w:t>
                        </w:r>
                      </w:p>
                      <w:p>
                        <w:pPr>
                          <w:pStyle w:val="TableParagraph"/>
                          <w:spacing w:line="245" w:lineRule="exact" w:before="12"/>
                          <w:ind w:left="118"/>
                          <w:rPr>
                            <w:sz w:val="21"/>
                          </w:rPr>
                        </w:pPr>
                        <w:r>
                          <w:rPr>
                            <w:w w:val="95"/>
                            <w:sz w:val="21"/>
                          </w:rPr>
                          <w:t>项污染物，各项污染物对周边环境影响较小，不触及环境质量底线。</w:t>
                        </w:r>
                      </w:p>
                    </w:tc>
                    <w:tc>
                      <w:tcPr>
                        <w:tcW w:w="1070" w:type="dxa"/>
                        <w:tcBorders>
                          <w:top w:val="single" w:sz="4" w:space="0" w:color="000000"/>
                          <w:left w:val="single" w:sz="4" w:space="0" w:color="000000"/>
                          <w:bottom w:val="single" w:sz="4" w:space="0" w:color="000000"/>
                          <w:right w:val="nil"/>
                        </w:tcBorders>
                      </w:tcPr>
                      <w:p>
                        <w:pPr>
                          <w:pStyle w:val="TableParagraph"/>
                          <w:rPr>
                            <w:rFonts w:ascii="黑体"/>
                            <w:sz w:val="20"/>
                          </w:rPr>
                        </w:pPr>
                      </w:p>
                      <w:p>
                        <w:pPr>
                          <w:pStyle w:val="TableParagraph"/>
                          <w:spacing w:before="176"/>
                          <w:ind w:left="205" w:right="186"/>
                          <w:jc w:val="center"/>
                          <w:rPr>
                            <w:sz w:val="21"/>
                          </w:rPr>
                        </w:pPr>
                        <w:r>
                          <w:rPr>
                            <w:sz w:val="21"/>
                          </w:rPr>
                          <w:t>符合</w:t>
                        </w:r>
                      </w:p>
                    </w:tc>
                  </w:tr>
                  <w:tr>
                    <w:trPr>
                      <w:trHeight w:val="560" w:hRule="atLeast"/>
                    </w:trPr>
                    <w:tc>
                      <w:tcPr>
                        <w:tcW w:w="1968" w:type="dxa"/>
                        <w:tcBorders>
                          <w:top w:val="single" w:sz="4" w:space="0" w:color="000000"/>
                          <w:left w:val="nil"/>
                          <w:bottom w:val="single" w:sz="4" w:space="0" w:color="000000"/>
                          <w:right w:val="single" w:sz="4" w:space="0" w:color="000000"/>
                        </w:tcBorders>
                      </w:tcPr>
                      <w:p>
                        <w:pPr>
                          <w:pStyle w:val="TableParagraph"/>
                          <w:spacing w:before="154"/>
                          <w:ind w:left="136" w:right="105"/>
                          <w:jc w:val="center"/>
                          <w:rPr>
                            <w:sz w:val="21"/>
                          </w:rPr>
                        </w:pPr>
                        <w:r>
                          <w:rPr>
                            <w:sz w:val="21"/>
                          </w:rPr>
                          <w:t>资源利用上线</w:t>
                        </w:r>
                      </w:p>
                    </w:tc>
                    <w:tc>
                      <w:tcPr>
                        <w:tcW w:w="6222"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4"/>
                          <w:ind w:left="118" w:right="86"/>
                          <w:rPr>
                            <w:sz w:val="21"/>
                          </w:rPr>
                        </w:pPr>
                        <w:r>
                          <w:rPr>
                            <w:spacing w:val="-8"/>
                            <w:w w:val="95"/>
                            <w:sz w:val="21"/>
                          </w:rPr>
                          <w:t>项目用电、用水量不会超过区域水、电负荷，采矿结束后按要求进 </w:t>
                        </w:r>
                        <w:r>
                          <w:rPr>
                            <w:spacing w:val="-8"/>
                            <w:sz w:val="21"/>
                          </w:rPr>
                          <w:t>行土地复垦，因此项目符合资源利用上线的要求。</w:t>
                        </w:r>
                      </w:p>
                    </w:tc>
                    <w:tc>
                      <w:tcPr>
                        <w:tcW w:w="1070" w:type="dxa"/>
                        <w:tcBorders>
                          <w:top w:val="single" w:sz="4" w:space="0" w:color="000000"/>
                          <w:left w:val="single" w:sz="4" w:space="0" w:color="000000"/>
                          <w:bottom w:val="single" w:sz="4" w:space="0" w:color="000000"/>
                          <w:right w:val="nil"/>
                        </w:tcBorders>
                      </w:tcPr>
                      <w:p>
                        <w:pPr>
                          <w:pStyle w:val="TableParagraph"/>
                          <w:spacing w:before="154"/>
                          <w:ind w:left="205" w:right="186"/>
                          <w:jc w:val="center"/>
                          <w:rPr>
                            <w:sz w:val="21"/>
                          </w:rPr>
                        </w:pPr>
                        <w:r>
                          <w:rPr>
                            <w:sz w:val="21"/>
                          </w:rPr>
                          <w:t>符合</w:t>
                        </w:r>
                      </w:p>
                    </w:tc>
                  </w:tr>
                  <w:tr>
                    <w:trPr>
                      <w:trHeight w:val="275" w:hRule="atLeast"/>
                    </w:trPr>
                    <w:tc>
                      <w:tcPr>
                        <w:tcW w:w="1968" w:type="dxa"/>
                        <w:tcBorders>
                          <w:top w:val="single" w:sz="4" w:space="0" w:color="000000"/>
                          <w:left w:val="nil"/>
                          <w:right w:val="single" w:sz="4" w:space="0" w:color="000000"/>
                        </w:tcBorders>
                      </w:tcPr>
                      <w:p>
                        <w:pPr>
                          <w:pStyle w:val="TableParagraph"/>
                          <w:spacing w:line="246" w:lineRule="exact" w:before="10"/>
                          <w:ind w:left="138" w:right="105"/>
                          <w:jc w:val="center"/>
                          <w:rPr>
                            <w:sz w:val="21"/>
                          </w:rPr>
                        </w:pPr>
                        <w:r>
                          <w:rPr>
                            <w:sz w:val="21"/>
                          </w:rPr>
                          <w:t>环境准入负面清单</w:t>
                        </w:r>
                      </w:p>
                    </w:tc>
                    <w:tc>
                      <w:tcPr>
                        <w:tcW w:w="6222" w:type="dxa"/>
                        <w:tcBorders>
                          <w:top w:val="single" w:sz="4" w:space="0" w:color="000000"/>
                          <w:left w:val="single" w:sz="4" w:space="0" w:color="000000"/>
                          <w:right w:val="single" w:sz="4" w:space="0" w:color="000000"/>
                        </w:tcBorders>
                      </w:tcPr>
                      <w:p>
                        <w:pPr>
                          <w:pStyle w:val="TableParagraph"/>
                          <w:spacing w:line="246" w:lineRule="exact" w:before="10"/>
                          <w:ind w:left="118"/>
                          <w:rPr>
                            <w:sz w:val="21"/>
                          </w:rPr>
                        </w:pPr>
                        <w:r>
                          <w:rPr>
                            <w:sz w:val="21"/>
                          </w:rPr>
                          <w:t>项目位于恒口示范区不在环境准入负面清单内。</w:t>
                        </w:r>
                      </w:p>
                    </w:tc>
                    <w:tc>
                      <w:tcPr>
                        <w:tcW w:w="1070" w:type="dxa"/>
                        <w:tcBorders>
                          <w:top w:val="single" w:sz="4" w:space="0" w:color="000000"/>
                          <w:left w:val="single" w:sz="4" w:space="0" w:color="000000"/>
                          <w:right w:val="nil"/>
                        </w:tcBorders>
                      </w:tcPr>
                      <w:p>
                        <w:pPr>
                          <w:pStyle w:val="TableParagraph"/>
                          <w:spacing w:line="246" w:lineRule="exact" w:before="10"/>
                          <w:ind w:left="205" w:right="186"/>
                          <w:jc w:val="center"/>
                          <w:rPr>
                            <w:sz w:val="21"/>
                          </w:rPr>
                        </w:pPr>
                        <w:r>
                          <w:rPr>
                            <w:sz w:val="21"/>
                          </w:rPr>
                          <w:t>符合</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7"/>
        <w:gridCol w:w="1808"/>
        <w:gridCol w:w="4201"/>
        <w:gridCol w:w="1829"/>
      </w:tblGrid>
      <w:tr>
        <w:trPr>
          <w:trHeight w:val="13843" w:hRule="atLeast"/>
        </w:trPr>
        <w:tc>
          <w:tcPr>
            <w:tcW w:w="9555" w:type="dxa"/>
            <w:gridSpan w:val="4"/>
            <w:tcBorders>
              <w:bottom w:val="single" w:sz="12" w:space="0" w:color="000000"/>
            </w:tcBorders>
          </w:tcPr>
          <w:p>
            <w:pPr>
              <w:pStyle w:val="TableParagraph"/>
              <w:spacing w:line="360" w:lineRule="auto" w:before="129"/>
              <w:ind w:left="106" w:right="95" w:firstLine="480"/>
              <w:jc w:val="both"/>
              <w:rPr>
                <w:sz w:val="24"/>
              </w:rPr>
            </w:pPr>
            <w:r>
              <w:rPr>
                <w:sz w:val="24"/>
              </w:rPr>
              <w:t>矿区范围根据《安康市恒口示范区</w:t>
            </w:r>
            <w:r>
              <w:rPr>
                <w:rFonts w:ascii="Times New Roman" w:eastAsia="Times New Roman"/>
                <w:sz w:val="24"/>
              </w:rPr>
              <w:t>(</w:t>
            </w:r>
            <w:r>
              <w:rPr>
                <w:spacing w:val="1"/>
                <w:sz w:val="24"/>
              </w:rPr>
              <w:t>试验区</w:t>
            </w:r>
            <w:r>
              <w:rPr>
                <w:rFonts w:ascii="Times New Roman" w:eastAsia="Times New Roman"/>
                <w:sz w:val="24"/>
              </w:rPr>
              <w:t>)</w:t>
            </w:r>
            <w:r>
              <w:rPr>
                <w:spacing w:val="-3"/>
                <w:sz w:val="24"/>
              </w:rPr>
              <w:t>国土资源局委托书》给定的坐标：由 </w:t>
            </w:r>
            <w:r>
              <w:rPr>
                <w:rFonts w:ascii="Times New Roman" w:eastAsia="Times New Roman"/>
                <w:sz w:val="24"/>
              </w:rPr>
              <w:t>6 </w:t>
            </w:r>
            <w:r>
              <w:rPr>
                <w:sz w:val="24"/>
              </w:rPr>
              <w:t>个</w:t>
            </w:r>
            <w:r>
              <w:rPr>
                <w:spacing w:val="-1"/>
                <w:sz w:val="24"/>
              </w:rPr>
              <w:t>拐点坐标圈定，矿区面积为 </w:t>
            </w:r>
            <w:r>
              <w:rPr>
                <w:rFonts w:ascii="Times New Roman" w:eastAsia="Times New Roman"/>
                <w:sz w:val="24"/>
              </w:rPr>
              <w:t>0.0173km</w:t>
            </w:r>
            <w:r>
              <w:rPr>
                <w:rFonts w:ascii="Times New Roman" w:eastAsia="Times New Roman"/>
                <w:position w:val="8"/>
                <w:sz w:val="15"/>
              </w:rPr>
              <w:t>2</w:t>
            </w:r>
            <w:r>
              <w:rPr>
                <w:sz w:val="24"/>
              </w:rPr>
              <w:t>，矿种为砖瓦用页岩矿。开采方式为露天开采，开</w:t>
            </w:r>
            <w:r>
              <w:rPr>
                <w:spacing w:val="-11"/>
                <w:sz w:val="24"/>
              </w:rPr>
              <w:t>采深度为 </w:t>
            </w:r>
            <w:r>
              <w:rPr>
                <w:rFonts w:ascii="Times New Roman" w:eastAsia="Times New Roman"/>
                <w:sz w:val="24"/>
              </w:rPr>
              <w:t>294 </w:t>
            </w:r>
            <w:r>
              <w:rPr>
                <w:spacing w:val="-19"/>
                <w:sz w:val="24"/>
              </w:rPr>
              <w:t>米至 </w:t>
            </w:r>
            <w:r>
              <w:rPr>
                <w:rFonts w:ascii="Times New Roman" w:eastAsia="Times New Roman"/>
                <w:sz w:val="24"/>
              </w:rPr>
              <w:t>325 </w:t>
            </w:r>
            <w:r>
              <w:rPr>
                <w:spacing w:val="-8"/>
                <w:sz w:val="24"/>
              </w:rPr>
              <w:t>米。矿山东侧 </w:t>
            </w:r>
            <w:r>
              <w:rPr>
                <w:rFonts w:ascii="Times New Roman" w:eastAsia="Times New Roman"/>
                <w:sz w:val="24"/>
              </w:rPr>
              <w:t>5m </w:t>
            </w:r>
            <w:r>
              <w:rPr>
                <w:spacing w:val="-1"/>
                <w:sz w:val="24"/>
              </w:rPr>
              <w:t>处为安康市汉滨区鑫平新型建材有限公司金坑村</w:t>
            </w:r>
            <w:r>
              <w:rPr>
                <w:spacing w:val="-3"/>
                <w:sz w:val="24"/>
              </w:rPr>
              <w:t>沟南砖瓦用页岩砖厂。西、南、北侧均为荒地。东侧 </w:t>
            </w:r>
            <w:r>
              <w:rPr>
                <w:rFonts w:ascii="Times New Roman" w:eastAsia="Times New Roman"/>
                <w:sz w:val="24"/>
              </w:rPr>
              <w:t>158~200m </w:t>
            </w:r>
            <w:r>
              <w:rPr>
                <w:spacing w:val="-12"/>
                <w:sz w:val="24"/>
              </w:rPr>
              <w:t>范围内有 </w:t>
            </w:r>
            <w:r>
              <w:rPr>
                <w:rFonts w:ascii="Times New Roman" w:eastAsia="Times New Roman"/>
                <w:sz w:val="24"/>
              </w:rPr>
              <w:t>2 </w:t>
            </w:r>
            <w:r>
              <w:rPr>
                <w:spacing w:val="-2"/>
                <w:sz w:val="24"/>
              </w:rPr>
              <w:t>户住户，东南</w:t>
            </w:r>
            <w:r>
              <w:rPr>
                <w:spacing w:val="-31"/>
                <w:sz w:val="24"/>
              </w:rPr>
              <w:t>侧 </w:t>
            </w:r>
            <w:r>
              <w:rPr>
                <w:rFonts w:ascii="Times New Roman" w:eastAsia="Times New Roman"/>
                <w:sz w:val="24"/>
              </w:rPr>
              <w:t>128~200m </w:t>
            </w:r>
            <w:r>
              <w:rPr>
                <w:spacing w:val="-12"/>
                <w:sz w:val="24"/>
              </w:rPr>
              <w:t>范围内有 </w:t>
            </w:r>
            <w:r>
              <w:rPr>
                <w:rFonts w:ascii="Times New Roman" w:eastAsia="Times New Roman"/>
                <w:sz w:val="24"/>
              </w:rPr>
              <w:t>3 </w:t>
            </w:r>
            <w:r>
              <w:rPr>
                <w:spacing w:val="-10"/>
                <w:sz w:val="24"/>
              </w:rPr>
              <w:t>户住户。项目地理位置见附图 </w:t>
            </w:r>
            <w:r>
              <w:rPr>
                <w:rFonts w:ascii="Times New Roman" w:eastAsia="Times New Roman"/>
                <w:spacing w:val="-16"/>
                <w:sz w:val="24"/>
              </w:rPr>
              <w:t>1</w:t>
            </w:r>
            <w:r>
              <w:rPr>
                <w:spacing w:val="-10"/>
                <w:sz w:val="24"/>
              </w:rPr>
              <w:t>，矿山地质地形见附图 </w:t>
            </w:r>
            <w:r>
              <w:rPr>
                <w:rFonts w:ascii="Times New Roman" w:eastAsia="Times New Roman"/>
                <w:spacing w:val="-17"/>
                <w:sz w:val="24"/>
              </w:rPr>
              <w:t>2</w:t>
            </w:r>
            <w:r>
              <w:rPr>
                <w:spacing w:val="-8"/>
                <w:sz w:val="24"/>
              </w:rPr>
              <w:t>，矿山平</w:t>
            </w:r>
            <w:r>
              <w:rPr>
                <w:spacing w:val="-9"/>
                <w:sz w:val="24"/>
              </w:rPr>
              <w:t>面布置见附图 </w:t>
            </w:r>
            <w:r>
              <w:rPr>
                <w:rFonts w:ascii="Times New Roman" w:eastAsia="Times New Roman"/>
                <w:sz w:val="24"/>
              </w:rPr>
              <w:t>3</w:t>
            </w:r>
            <w:r>
              <w:rPr>
                <w:spacing w:val="-6"/>
                <w:sz w:val="24"/>
              </w:rPr>
              <w:t>，矿山拐点坐标详见表 </w:t>
            </w:r>
            <w:r>
              <w:rPr>
                <w:rFonts w:ascii="Times New Roman" w:eastAsia="Times New Roman"/>
                <w:sz w:val="24"/>
              </w:rPr>
              <w:t>1.3</w:t>
            </w:r>
            <w:r>
              <w:rPr>
                <w:sz w:val="24"/>
              </w:rPr>
              <w:t>。</w:t>
            </w:r>
          </w:p>
          <w:p>
            <w:pPr>
              <w:pStyle w:val="TableParagraph"/>
              <w:spacing w:line="357" w:lineRule="auto"/>
              <w:ind w:left="106" w:right="95" w:firstLine="480"/>
              <w:jc w:val="both"/>
              <w:rPr>
                <w:sz w:val="24"/>
              </w:rPr>
            </w:pPr>
            <w:r>
              <w:rPr>
                <w:spacing w:val="-2"/>
                <w:sz w:val="24"/>
              </w:rPr>
              <w:t>根据陕西省安康市恒口示范区金坑村沟南砖瓦用页岩矿资源储量核实报告可知，矿区</w:t>
            </w:r>
            <w:r>
              <w:rPr>
                <w:sz w:val="24"/>
              </w:rPr>
              <w:t>初步圈定了一条 </w:t>
            </w:r>
            <w:r>
              <w:rPr>
                <w:rFonts w:ascii="Times New Roman" w:eastAsia="Times New Roman"/>
                <w:sz w:val="24"/>
              </w:rPr>
              <w:t>K1 </w:t>
            </w:r>
            <w:r>
              <w:rPr>
                <w:spacing w:val="4"/>
                <w:sz w:val="24"/>
              </w:rPr>
              <w:t>矿体。经过估算共求得页岩矿 </w:t>
            </w:r>
            <w:r>
              <w:rPr>
                <w:rFonts w:ascii="Times New Roman" w:eastAsia="Times New Roman"/>
                <w:sz w:val="24"/>
              </w:rPr>
              <w:t>333 </w:t>
            </w:r>
            <w:r>
              <w:rPr>
                <w:spacing w:val="-8"/>
                <w:sz w:val="24"/>
              </w:rPr>
              <w:t>资源量 </w:t>
            </w:r>
            <w:r>
              <w:rPr>
                <w:rFonts w:ascii="Times New Roman" w:eastAsia="Times New Roman"/>
                <w:sz w:val="24"/>
              </w:rPr>
              <w:t>15.54 </w:t>
            </w:r>
            <w:r>
              <w:rPr>
                <w:spacing w:val="9"/>
                <w:sz w:val="24"/>
              </w:rPr>
              <w:t>万立方米</w:t>
            </w:r>
            <w:r>
              <w:rPr>
                <w:spacing w:val="12"/>
                <w:sz w:val="24"/>
              </w:rPr>
              <w:t>（</w:t>
            </w:r>
            <w:r>
              <w:rPr>
                <w:spacing w:val="6"/>
                <w:sz w:val="24"/>
              </w:rPr>
              <w:t>密度为</w:t>
            </w:r>
            <w:r>
              <w:rPr>
                <w:rFonts w:ascii="Times New Roman" w:eastAsia="Times New Roman"/>
                <w:spacing w:val="6"/>
                <w:sz w:val="24"/>
              </w:rPr>
              <w:t>2.68t/m</w:t>
            </w:r>
            <w:r>
              <w:rPr>
                <w:rFonts w:ascii="Times New Roman" w:eastAsia="Times New Roman"/>
                <w:spacing w:val="6"/>
                <w:position w:val="8"/>
                <w:sz w:val="15"/>
              </w:rPr>
              <w:t>3</w:t>
            </w:r>
            <w:r>
              <w:rPr>
                <w:spacing w:val="6"/>
                <w:sz w:val="24"/>
              </w:rPr>
              <w:t>，</w:t>
            </w:r>
            <w:r>
              <w:rPr>
                <w:rFonts w:ascii="Times New Roman" w:eastAsia="Times New Roman"/>
                <w:spacing w:val="6"/>
                <w:sz w:val="24"/>
              </w:rPr>
              <w:t>41.65 </w:t>
            </w:r>
            <w:r>
              <w:rPr>
                <w:spacing w:val="6"/>
                <w:sz w:val="24"/>
              </w:rPr>
              <w:t>万吨</w:t>
            </w:r>
            <w:r>
              <w:rPr>
                <w:spacing w:val="-120"/>
                <w:sz w:val="24"/>
              </w:rPr>
              <w:t>）</w:t>
            </w:r>
            <w:r>
              <w:rPr>
                <w:sz w:val="24"/>
              </w:rPr>
              <w:t>。</w:t>
            </w:r>
          </w:p>
          <w:p>
            <w:pPr>
              <w:pStyle w:val="TableParagraph"/>
              <w:ind w:left="3337"/>
              <w:jc w:val="both"/>
              <w:rPr>
                <w:b/>
                <w:sz w:val="24"/>
              </w:rPr>
            </w:pPr>
            <w:r>
              <w:rPr>
                <w:b/>
                <w:sz w:val="24"/>
              </w:rPr>
              <w:t>表 </w:t>
            </w:r>
            <w:r>
              <w:rPr>
                <w:rFonts w:ascii="Times New Roman" w:eastAsia="Times New Roman"/>
                <w:b/>
                <w:sz w:val="24"/>
              </w:rPr>
              <w:t>1.3  </w:t>
            </w:r>
            <w:r>
              <w:rPr>
                <w:b/>
                <w:sz w:val="24"/>
              </w:rPr>
              <w:t>矿区拐点坐标一览表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7"/>
              <w:rPr>
                <w:rFonts w:ascii="黑体"/>
                <w:sz w:val="32"/>
              </w:rPr>
            </w:pPr>
          </w:p>
          <w:p>
            <w:pPr>
              <w:pStyle w:val="TableParagraph"/>
              <w:ind w:left="586"/>
              <w:rPr>
                <w:b/>
                <w:sz w:val="24"/>
              </w:rPr>
            </w:pPr>
            <w:r>
              <w:rPr>
                <w:rFonts w:ascii="Times New Roman" w:eastAsia="Times New Roman"/>
                <w:b/>
                <w:sz w:val="24"/>
              </w:rPr>
              <w:t>1.1.3 </w:t>
            </w:r>
            <w:r>
              <w:rPr>
                <w:b/>
                <w:sz w:val="24"/>
              </w:rPr>
              <w:t>建设规模和内容</w:t>
            </w:r>
          </w:p>
          <w:p>
            <w:pPr>
              <w:pStyle w:val="TableParagraph"/>
              <w:spacing w:before="151"/>
              <w:ind w:left="586"/>
              <w:rPr>
                <w:sz w:val="24"/>
              </w:rPr>
            </w:pPr>
            <w:r>
              <w:rPr>
                <w:rFonts w:ascii="Times New Roman" w:eastAsia="Times New Roman"/>
                <w:sz w:val="24"/>
              </w:rPr>
              <w:t>1</w:t>
            </w:r>
            <w:r>
              <w:rPr>
                <w:sz w:val="24"/>
              </w:rPr>
              <w:t>、项目基本情况</w:t>
            </w:r>
          </w:p>
          <w:p>
            <w:pPr>
              <w:pStyle w:val="TableParagraph"/>
              <w:numPr>
                <w:ilvl w:val="0"/>
                <w:numId w:val="5"/>
              </w:numPr>
              <w:tabs>
                <w:tab w:pos="1188" w:val="left" w:leader="none"/>
              </w:tabs>
              <w:spacing w:line="240" w:lineRule="auto" w:before="153" w:after="0"/>
              <w:ind w:left="1187" w:right="0" w:hanging="602"/>
              <w:jc w:val="left"/>
              <w:rPr>
                <w:sz w:val="24"/>
              </w:rPr>
            </w:pPr>
            <w:r>
              <w:rPr>
                <w:sz w:val="24"/>
              </w:rPr>
              <w:t>项目名称：金坑村沟南砖瓦用页岩矿开采项目</w:t>
            </w:r>
          </w:p>
          <w:p>
            <w:pPr>
              <w:pStyle w:val="TableParagraph"/>
              <w:numPr>
                <w:ilvl w:val="0"/>
                <w:numId w:val="5"/>
              </w:numPr>
              <w:tabs>
                <w:tab w:pos="1188" w:val="left" w:leader="none"/>
              </w:tabs>
              <w:spacing w:line="240" w:lineRule="auto" w:before="153" w:after="0"/>
              <w:ind w:left="1187" w:right="0" w:hanging="602"/>
              <w:jc w:val="left"/>
              <w:rPr>
                <w:sz w:val="24"/>
              </w:rPr>
            </w:pPr>
            <w:r>
              <w:rPr>
                <w:sz w:val="24"/>
              </w:rPr>
              <w:t>建设单位：安康市汉滨区鑫平新型建材有限公司</w:t>
            </w:r>
          </w:p>
          <w:p>
            <w:pPr>
              <w:pStyle w:val="TableParagraph"/>
              <w:numPr>
                <w:ilvl w:val="0"/>
                <w:numId w:val="5"/>
              </w:numPr>
              <w:tabs>
                <w:tab w:pos="1188" w:val="left" w:leader="none"/>
              </w:tabs>
              <w:spacing w:line="240" w:lineRule="auto" w:before="151" w:after="0"/>
              <w:ind w:left="1187" w:right="0" w:hanging="602"/>
              <w:jc w:val="left"/>
              <w:rPr>
                <w:sz w:val="24"/>
              </w:rPr>
            </w:pPr>
            <w:r>
              <w:rPr>
                <w:sz w:val="24"/>
              </w:rPr>
              <w:t>建设性质：新建</w:t>
            </w:r>
          </w:p>
          <w:p>
            <w:pPr>
              <w:pStyle w:val="TableParagraph"/>
              <w:numPr>
                <w:ilvl w:val="0"/>
                <w:numId w:val="5"/>
              </w:numPr>
              <w:tabs>
                <w:tab w:pos="1188" w:val="left" w:leader="none"/>
              </w:tabs>
              <w:spacing w:line="240" w:lineRule="auto" w:before="154" w:after="0"/>
              <w:ind w:left="1187" w:right="0" w:hanging="602"/>
              <w:jc w:val="left"/>
              <w:rPr>
                <w:sz w:val="24"/>
              </w:rPr>
            </w:pPr>
            <w:r>
              <w:rPr>
                <w:sz w:val="24"/>
              </w:rPr>
              <w:t>建设地点：陕西省安康市汉滨区恒口镇金坑村</w:t>
            </w:r>
          </w:p>
          <w:p>
            <w:pPr>
              <w:pStyle w:val="TableParagraph"/>
              <w:numPr>
                <w:ilvl w:val="0"/>
                <w:numId w:val="5"/>
              </w:numPr>
              <w:tabs>
                <w:tab w:pos="1188" w:val="left" w:leader="none"/>
              </w:tabs>
              <w:spacing w:line="240" w:lineRule="auto" w:before="153" w:after="0"/>
              <w:ind w:left="1187" w:right="0" w:hanging="602"/>
              <w:jc w:val="left"/>
              <w:rPr>
                <w:sz w:val="24"/>
              </w:rPr>
            </w:pPr>
            <w:r>
              <w:rPr>
                <w:spacing w:val="-5"/>
                <w:sz w:val="24"/>
              </w:rPr>
              <w:t>建设规模：项目矿区面积为 </w:t>
            </w:r>
            <w:r>
              <w:rPr>
                <w:rFonts w:ascii="Times New Roman" w:eastAsia="Times New Roman"/>
                <w:sz w:val="24"/>
              </w:rPr>
              <w:t>0.0173km</w:t>
            </w:r>
            <w:r>
              <w:rPr>
                <w:rFonts w:ascii="Times New Roman" w:eastAsia="Times New Roman"/>
                <w:position w:val="8"/>
                <w:sz w:val="15"/>
              </w:rPr>
              <w:t>2</w:t>
            </w:r>
            <w:r>
              <w:rPr>
                <w:spacing w:val="-4"/>
                <w:sz w:val="24"/>
              </w:rPr>
              <w:t>，矿山设计露天开采，开采能力为 </w:t>
            </w:r>
            <w:r>
              <w:rPr>
                <w:rFonts w:ascii="Times New Roman" w:eastAsia="Times New Roman"/>
                <w:sz w:val="24"/>
              </w:rPr>
              <w:t>1.4</w:t>
            </w:r>
            <w:r>
              <w:rPr>
                <w:rFonts w:ascii="Times New Roman" w:eastAsia="Times New Roman"/>
                <w:spacing w:val="1"/>
                <w:sz w:val="24"/>
              </w:rPr>
              <w:t> </w:t>
            </w:r>
            <w:r>
              <w:rPr>
                <w:sz w:val="24"/>
              </w:rPr>
              <w:t>万</w:t>
            </w:r>
          </w:p>
          <w:p>
            <w:pPr>
              <w:pStyle w:val="TableParagraph"/>
              <w:spacing w:before="151"/>
              <w:ind w:left="106"/>
              <w:rPr>
                <w:rFonts w:ascii="Times New Roman" w:hAnsi="Times New Roman" w:eastAsia="Times New Roman"/>
                <w:sz w:val="24"/>
              </w:rPr>
            </w:pPr>
            <w:r>
              <w:rPr>
                <w:rFonts w:ascii="Times New Roman" w:hAnsi="Times New Roman" w:eastAsia="Times New Roman"/>
                <w:sz w:val="24"/>
              </w:rPr>
              <w:t>m³/a</w:t>
            </w:r>
            <w:r>
              <w:rPr>
                <w:sz w:val="24"/>
              </w:rPr>
              <w:t>，矿山服务年限为 </w:t>
            </w:r>
            <w:r>
              <w:rPr>
                <w:rFonts w:ascii="Times New Roman" w:hAnsi="Times New Roman" w:eastAsia="Times New Roman"/>
                <w:sz w:val="24"/>
              </w:rPr>
              <w:t>10.2a</w:t>
            </w:r>
          </w:p>
          <w:p>
            <w:pPr>
              <w:pStyle w:val="TableParagraph"/>
              <w:numPr>
                <w:ilvl w:val="0"/>
                <w:numId w:val="5"/>
              </w:numPr>
              <w:tabs>
                <w:tab w:pos="1188" w:val="left" w:leader="none"/>
              </w:tabs>
              <w:spacing w:line="240" w:lineRule="auto" w:before="153" w:after="0"/>
              <w:ind w:left="1187" w:right="0" w:hanging="602"/>
              <w:jc w:val="left"/>
              <w:rPr>
                <w:sz w:val="24"/>
              </w:rPr>
            </w:pPr>
            <w:r>
              <w:rPr>
                <w:spacing w:val="-4"/>
                <w:sz w:val="24"/>
              </w:rPr>
              <w:t>工作制度及劳动定员：项目劳动定员 </w:t>
            </w:r>
            <w:r>
              <w:rPr>
                <w:rFonts w:ascii="Times New Roman" w:eastAsia="Times New Roman"/>
                <w:sz w:val="24"/>
              </w:rPr>
              <w:t>2 </w:t>
            </w:r>
            <w:r>
              <w:rPr>
                <w:spacing w:val="-9"/>
                <w:sz w:val="24"/>
              </w:rPr>
              <w:t>人，每天工作 </w:t>
            </w:r>
            <w:r>
              <w:rPr>
                <w:rFonts w:ascii="Times New Roman" w:eastAsia="Times New Roman"/>
                <w:sz w:val="24"/>
              </w:rPr>
              <w:t>5 </w:t>
            </w:r>
            <w:r>
              <w:rPr>
                <w:spacing w:val="-9"/>
                <w:sz w:val="24"/>
              </w:rPr>
              <w:t>小时，年工作 </w:t>
            </w:r>
            <w:r>
              <w:rPr>
                <w:rFonts w:ascii="Times New Roman" w:eastAsia="Times New Roman"/>
                <w:sz w:val="24"/>
              </w:rPr>
              <w:t>210 </w:t>
            </w:r>
            <w:r>
              <w:rPr>
                <w:sz w:val="24"/>
              </w:rPr>
              <w:t>天</w:t>
            </w:r>
          </w:p>
          <w:p>
            <w:pPr>
              <w:pStyle w:val="TableParagraph"/>
              <w:numPr>
                <w:ilvl w:val="0"/>
                <w:numId w:val="5"/>
              </w:numPr>
              <w:tabs>
                <w:tab w:pos="1188" w:val="left" w:leader="none"/>
              </w:tabs>
              <w:spacing w:line="240" w:lineRule="auto" w:before="153" w:after="0"/>
              <w:ind w:left="1187" w:right="0" w:hanging="602"/>
              <w:jc w:val="left"/>
              <w:rPr>
                <w:sz w:val="24"/>
              </w:rPr>
            </w:pPr>
            <w:r>
              <w:rPr>
                <w:spacing w:val="-6"/>
                <w:sz w:val="24"/>
              </w:rPr>
              <w:t>项目总投资：总投资 </w:t>
            </w:r>
            <w:r>
              <w:rPr>
                <w:rFonts w:ascii="Times New Roman" w:eastAsia="Times New Roman"/>
                <w:sz w:val="24"/>
              </w:rPr>
              <w:t>140 </w:t>
            </w:r>
            <w:r>
              <w:rPr>
                <w:sz w:val="24"/>
              </w:rPr>
              <w:t>万元，资金全部为企业自筹</w:t>
            </w:r>
          </w:p>
          <w:p>
            <w:pPr>
              <w:pStyle w:val="TableParagraph"/>
              <w:spacing w:before="151"/>
              <w:ind w:left="586"/>
              <w:rPr>
                <w:sz w:val="24"/>
              </w:rPr>
            </w:pPr>
            <w:r>
              <w:rPr>
                <w:rFonts w:ascii="Times New Roman" w:eastAsia="Times New Roman"/>
                <w:sz w:val="24"/>
              </w:rPr>
              <w:t>2</w:t>
            </w:r>
            <w:r>
              <w:rPr>
                <w:sz w:val="24"/>
              </w:rPr>
              <w:t>、工程建设内容</w:t>
            </w:r>
          </w:p>
          <w:p>
            <w:pPr>
              <w:pStyle w:val="TableParagraph"/>
              <w:spacing w:before="154"/>
              <w:ind w:left="586"/>
              <w:rPr>
                <w:sz w:val="24"/>
              </w:rPr>
            </w:pPr>
            <w:r>
              <w:rPr>
                <w:sz w:val="24"/>
              </w:rPr>
              <w:t>项目主要建设内容见表 </w:t>
            </w:r>
            <w:r>
              <w:rPr>
                <w:rFonts w:ascii="Times New Roman" w:eastAsia="Times New Roman"/>
                <w:sz w:val="24"/>
              </w:rPr>
              <w:t>1.4</w:t>
            </w:r>
            <w:r>
              <w:rPr>
                <w:sz w:val="24"/>
              </w:rPr>
              <w:t>。</w:t>
            </w:r>
          </w:p>
          <w:p>
            <w:pPr>
              <w:pStyle w:val="TableParagraph"/>
              <w:tabs>
                <w:tab w:pos="3757" w:val="left" w:leader="none"/>
              </w:tabs>
              <w:spacing w:before="153"/>
              <w:ind w:left="2917"/>
              <w:rPr>
                <w:b/>
                <w:sz w:val="24"/>
              </w:rPr>
            </w:pPr>
            <w:r>
              <w:rPr>
                <w:b/>
                <w:sz w:val="24"/>
              </w:rPr>
              <w:t>表</w:t>
            </w:r>
            <w:r>
              <w:rPr>
                <w:b/>
                <w:spacing w:val="-62"/>
                <w:sz w:val="24"/>
              </w:rPr>
              <w:t> </w:t>
            </w:r>
            <w:r>
              <w:rPr>
                <w:rFonts w:ascii="Times New Roman" w:eastAsia="Times New Roman"/>
                <w:b/>
                <w:sz w:val="24"/>
              </w:rPr>
              <w:t>1.4</w:t>
              <w:tab/>
            </w:r>
            <w:r>
              <w:rPr>
                <w:b/>
                <w:sz w:val="24"/>
              </w:rPr>
              <w:t>项目建设内容及规模一览表</w:t>
            </w:r>
          </w:p>
        </w:tc>
      </w:tr>
      <w:tr>
        <w:trPr>
          <w:trHeight w:val="365" w:hRule="atLeast"/>
        </w:trPr>
        <w:tc>
          <w:tcPr>
            <w:tcW w:w="1717" w:type="dxa"/>
            <w:tcBorders>
              <w:top w:val="single" w:sz="12" w:space="0" w:color="000000"/>
            </w:tcBorders>
          </w:tcPr>
          <w:p>
            <w:pPr>
              <w:pStyle w:val="TableParagraph"/>
              <w:spacing w:before="49"/>
              <w:ind w:left="507"/>
              <w:rPr>
                <w:sz w:val="21"/>
              </w:rPr>
            </w:pPr>
            <w:r>
              <w:rPr>
                <w:sz w:val="21"/>
              </w:rPr>
              <w:t>项目组成</w:t>
            </w:r>
          </w:p>
        </w:tc>
        <w:tc>
          <w:tcPr>
            <w:tcW w:w="1808" w:type="dxa"/>
            <w:tcBorders>
              <w:top w:val="single" w:sz="12" w:space="0" w:color="000000"/>
            </w:tcBorders>
          </w:tcPr>
          <w:p>
            <w:pPr>
              <w:pStyle w:val="TableParagraph"/>
              <w:spacing w:before="49"/>
              <w:ind w:left="482"/>
              <w:rPr>
                <w:sz w:val="21"/>
              </w:rPr>
            </w:pPr>
            <w:r>
              <w:rPr>
                <w:sz w:val="21"/>
              </w:rPr>
              <w:t>建设内容</w:t>
            </w:r>
          </w:p>
        </w:tc>
        <w:tc>
          <w:tcPr>
            <w:tcW w:w="4201" w:type="dxa"/>
            <w:tcBorders>
              <w:top w:val="single" w:sz="12" w:space="0" w:color="000000"/>
            </w:tcBorders>
          </w:tcPr>
          <w:p>
            <w:pPr>
              <w:pStyle w:val="TableParagraph"/>
              <w:spacing w:before="49"/>
              <w:ind w:left="1658" w:right="1653"/>
              <w:jc w:val="center"/>
              <w:rPr>
                <w:sz w:val="21"/>
              </w:rPr>
            </w:pPr>
            <w:r>
              <w:rPr>
                <w:sz w:val="21"/>
              </w:rPr>
              <w:t>建设规模</w:t>
            </w:r>
          </w:p>
        </w:tc>
        <w:tc>
          <w:tcPr>
            <w:tcW w:w="1829" w:type="dxa"/>
            <w:tcBorders>
              <w:top w:val="single" w:sz="12" w:space="0" w:color="000000"/>
            </w:tcBorders>
          </w:tcPr>
          <w:p>
            <w:pPr>
              <w:pStyle w:val="TableParagraph"/>
              <w:spacing w:before="49"/>
              <w:ind w:left="403" w:right="533"/>
              <w:jc w:val="center"/>
              <w:rPr>
                <w:sz w:val="21"/>
              </w:rPr>
            </w:pPr>
            <w:r>
              <w:rPr>
                <w:sz w:val="21"/>
              </w:rPr>
              <w:t>备注</w:t>
            </w:r>
          </w:p>
        </w:tc>
      </w:tr>
    </w:tbl>
    <w:p>
      <w:pPr>
        <w:rPr>
          <w:sz w:val="2"/>
          <w:szCs w:val="2"/>
        </w:rPr>
      </w:pPr>
      <w:r>
        <w:rPr/>
        <w:pict>
          <v:shape style="position:absolute;margin-left:120.879997pt;margin-top:292.850006pt;width:359.95pt;height:163.15pt;mso-position-horizontal-relative:page;mso-position-vertical-relative:page;z-index:25166028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25"/>
                    <w:gridCol w:w="2805"/>
                    <w:gridCol w:w="2925"/>
                  </w:tblGrid>
                  <w:tr>
                    <w:trPr>
                      <w:trHeight w:val="357" w:hRule="atLeast"/>
                    </w:trPr>
                    <w:tc>
                      <w:tcPr>
                        <w:tcW w:w="1425" w:type="dxa"/>
                        <w:vMerge w:val="restart"/>
                        <w:tcBorders>
                          <w:left w:val="nil"/>
                          <w:right w:val="single" w:sz="4" w:space="0" w:color="000000"/>
                        </w:tcBorders>
                      </w:tcPr>
                      <w:p>
                        <w:pPr>
                          <w:pStyle w:val="TableParagraph"/>
                          <w:spacing w:before="4"/>
                          <w:rPr>
                            <w:rFonts w:ascii="黑体"/>
                            <w:sz w:val="19"/>
                          </w:rPr>
                        </w:pPr>
                      </w:p>
                      <w:p>
                        <w:pPr>
                          <w:pStyle w:val="TableParagraph"/>
                          <w:ind w:left="306"/>
                          <w:rPr>
                            <w:b/>
                            <w:sz w:val="21"/>
                          </w:rPr>
                        </w:pPr>
                        <w:r>
                          <w:rPr>
                            <w:b/>
                            <w:sz w:val="21"/>
                          </w:rPr>
                          <w:t>拐点序号</w:t>
                        </w:r>
                      </w:p>
                    </w:tc>
                    <w:tc>
                      <w:tcPr>
                        <w:tcW w:w="5730" w:type="dxa"/>
                        <w:gridSpan w:val="2"/>
                        <w:tcBorders>
                          <w:left w:val="single" w:sz="4" w:space="0" w:color="000000"/>
                          <w:bottom w:val="single" w:sz="4" w:space="0" w:color="000000"/>
                          <w:right w:val="nil"/>
                        </w:tcBorders>
                      </w:tcPr>
                      <w:p>
                        <w:pPr>
                          <w:pStyle w:val="TableParagraph"/>
                          <w:spacing w:before="48"/>
                          <w:ind w:left="1612"/>
                          <w:rPr>
                            <w:b/>
                            <w:sz w:val="21"/>
                          </w:rPr>
                        </w:pPr>
                        <w:r>
                          <w:rPr>
                            <w:rFonts w:ascii="Times New Roman" w:eastAsia="Times New Roman"/>
                            <w:b/>
                            <w:sz w:val="21"/>
                          </w:rPr>
                          <w:t>CGCS2000 </w:t>
                        </w:r>
                        <w:r>
                          <w:rPr>
                            <w:b/>
                            <w:sz w:val="21"/>
                          </w:rPr>
                          <w:t>国家大地坐标系</w:t>
                        </w:r>
                      </w:p>
                    </w:tc>
                  </w:tr>
                  <w:tr>
                    <w:trPr>
                      <w:trHeight w:val="376" w:hRule="atLeast"/>
                    </w:trPr>
                    <w:tc>
                      <w:tcPr>
                        <w:tcW w:w="1425" w:type="dxa"/>
                        <w:vMerge/>
                        <w:tcBorders>
                          <w:top w:val="nil"/>
                          <w:left w:val="nil"/>
                          <w:right w:val="single" w:sz="4" w:space="0" w:color="000000"/>
                        </w:tcBorders>
                      </w:tcPr>
                      <w:p>
                        <w:pPr>
                          <w:rPr>
                            <w:sz w:val="2"/>
                            <w:szCs w:val="2"/>
                          </w:rPr>
                        </w:pPr>
                      </w:p>
                    </w:tc>
                    <w:tc>
                      <w:tcPr>
                        <w:tcW w:w="2805" w:type="dxa"/>
                        <w:tcBorders>
                          <w:top w:val="single" w:sz="4" w:space="0" w:color="000000"/>
                          <w:left w:val="single" w:sz="4" w:space="0" w:color="000000"/>
                          <w:right w:val="single" w:sz="4" w:space="0" w:color="000000"/>
                        </w:tcBorders>
                      </w:tcPr>
                      <w:p>
                        <w:pPr>
                          <w:pStyle w:val="TableParagraph"/>
                          <w:spacing w:before="61"/>
                          <w:ind w:left="28"/>
                          <w:jc w:val="center"/>
                          <w:rPr>
                            <w:rFonts w:ascii="Times New Roman"/>
                            <w:b/>
                            <w:sz w:val="21"/>
                          </w:rPr>
                        </w:pPr>
                        <w:r>
                          <w:rPr>
                            <w:rFonts w:ascii="Times New Roman"/>
                            <w:b/>
                            <w:w w:val="99"/>
                            <w:sz w:val="21"/>
                          </w:rPr>
                          <w:t>X</w:t>
                        </w:r>
                      </w:p>
                    </w:tc>
                    <w:tc>
                      <w:tcPr>
                        <w:tcW w:w="2925" w:type="dxa"/>
                        <w:tcBorders>
                          <w:top w:val="single" w:sz="4" w:space="0" w:color="000000"/>
                          <w:left w:val="single" w:sz="4" w:space="0" w:color="000000"/>
                          <w:right w:val="nil"/>
                        </w:tcBorders>
                      </w:tcPr>
                      <w:p>
                        <w:pPr>
                          <w:pStyle w:val="TableParagraph"/>
                          <w:spacing w:before="61"/>
                          <w:ind w:left="24"/>
                          <w:jc w:val="center"/>
                          <w:rPr>
                            <w:rFonts w:ascii="Times New Roman"/>
                            <w:b/>
                            <w:sz w:val="21"/>
                          </w:rPr>
                        </w:pPr>
                        <w:r>
                          <w:rPr>
                            <w:rFonts w:ascii="Times New Roman"/>
                            <w:b/>
                            <w:w w:val="99"/>
                            <w:sz w:val="21"/>
                          </w:rPr>
                          <w:t>Y</w:t>
                        </w:r>
                      </w:p>
                    </w:tc>
                  </w:tr>
                  <w:tr>
                    <w:trPr>
                      <w:trHeight w:val="474" w:hRule="atLeast"/>
                    </w:trPr>
                    <w:tc>
                      <w:tcPr>
                        <w:tcW w:w="1425" w:type="dxa"/>
                        <w:tcBorders>
                          <w:left w:val="nil"/>
                          <w:bottom w:val="single" w:sz="4" w:space="0" w:color="000000"/>
                          <w:right w:val="single" w:sz="4" w:space="0" w:color="000000"/>
                        </w:tcBorders>
                      </w:tcPr>
                      <w:p>
                        <w:pPr>
                          <w:pStyle w:val="TableParagraph"/>
                          <w:spacing w:before="99"/>
                          <w:ind w:right="631"/>
                          <w:jc w:val="right"/>
                          <w:rPr>
                            <w:rFonts w:ascii="Times New Roman"/>
                            <w:sz w:val="24"/>
                          </w:rPr>
                        </w:pPr>
                        <w:r>
                          <w:rPr>
                            <w:rFonts w:ascii="Times New Roman"/>
                            <w:sz w:val="24"/>
                          </w:rPr>
                          <w:t>1</w:t>
                        </w:r>
                      </w:p>
                    </w:tc>
                    <w:tc>
                      <w:tcPr>
                        <w:tcW w:w="2805" w:type="dxa"/>
                        <w:tcBorders>
                          <w:left w:val="single" w:sz="4" w:space="0" w:color="000000"/>
                          <w:bottom w:val="single" w:sz="4" w:space="0" w:color="000000"/>
                          <w:right w:val="single" w:sz="4" w:space="0" w:color="000000"/>
                        </w:tcBorders>
                      </w:tcPr>
                      <w:p>
                        <w:pPr>
                          <w:pStyle w:val="TableParagraph"/>
                          <w:spacing w:before="99"/>
                          <w:ind w:left="822" w:right="793"/>
                          <w:jc w:val="center"/>
                          <w:rPr>
                            <w:rFonts w:ascii="Times New Roman"/>
                            <w:sz w:val="24"/>
                          </w:rPr>
                        </w:pPr>
                        <w:r>
                          <w:rPr>
                            <w:rFonts w:ascii="Times New Roman"/>
                            <w:sz w:val="24"/>
                          </w:rPr>
                          <w:t>3625799.48</w:t>
                        </w:r>
                      </w:p>
                    </w:tc>
                    <w:tc>
                      <w:tcPr>
                        <w:tcW w:w="2925" w:type="dxa"/>
                        <w:tcBorders>
                          <w:left w:val="single" w:sz="4" w:space="0" w:color="000000"/>
                          <w:bottom w:val="single" w:sz="4" w:space="0" w:color="000000"/>
                          <w:right w:val="nil"/>
                        </w:tcBorders>
                      </w:tcPr>
                      <w:p>
                        <w:pPr>
                          <w:pStyle w:val="TableParagraph"/>
                          <w:spacing w:before="99"/>
                          <w:ind w:left="820" w:right="800"/>
                          <w:jc w:val="center"/>
                          <w:rPr>
                            <w:rFonts w:ascii="Times New Roman"/>
                            <w:sz w:val="24"/>
                          </w:rPr>
                        </w:pPr>
                        <w:r>
                          <w:rPr>
                            <w:rFonts w:ascii="Times New Roman"/>
                            <w:sz w:val="24"/>
                          </w:rPr>
                          <w:t>36569785.12</w:t>
                        </w:r>
                      </w:p>
                    </w:tc>
                  </w:tr>
                  <w:tr>
                    <w:trPr>
                      <w:trHeight w:val="473" w:hRule="atLeast"/>
                    </w:trPr>
                    <w:tc>
                      <w:tcPr>
                        <w:tcW w:w="1425" w:type="dxa"/>
                        <w:tcBorders>
                          <w:top w:val="single" w:sz="4" w:space="0" w:color="000000"/>
                          <w:left w:val="nil"/>
                          <w:bottom w:val="single" w:sz="4" w:space="0" w:color="000000"/>
                          <w:right w:val="single" w:sz="4" w:space="0" w:color="000000"/>
                        </w:tcBorders>
                      </w:tcPr>
                      <w:p>
                        <w:pPr>
                          <w:pStyle w:val="TableParagraph"/>
                          <w:spacing w:before="100"/>
                          <w:ind w:right="631"/>
                          <w:jc w:val="right"/>
                          <w:rPr>
                            <w:rFonts w:ascii="Times New Roman"/>
                            <w:sz w:val="24"/>
                          </w:rPr>
                        </w:pPr>
                        <w:r>
                          <w:rPr>
                            <w:rFonts w:ascii="Times New Roman"/>
                            <w:sz w:val="24"/>
                          </w:rPr>
                          <w:t>2</w:t>
                        </w:r>
                      </w:p>
                    </w:tc>
                    <w:tc>
                      <w:tcPr>
                        <w:tcW w:w="2805" w:type="dxa"/>
                        <w:tcBorders>
                          <w:top w:val="single" w:sz="4" w:space="0" w:color="000000"/>
                          <w:left w:val="single" w:sz="4" w:space="0" w:color="000000"/>
                          <w:bottom w:val="single" w:sz="4" w:space="0" w:color="000000"/>
                          <w:right w:val="single" w:sz="4" w:space="0" w:color="000000"/>
                        </w:tcBorders>
                      </w:tcPr>
                      <w:p>
                        <w:pPr>
                          <w:pStyle w:val="TableParagraph"/>
                          <w:spacing w:before="100"/>
                          <w:ind w:left="822" w:right="793"/>
                          <w:jc w:val="center"/>
                          <w:rPr>
                            <w:rFonts w:ascii="Times New Roman"/>
                            <w:sz w:val="24"/>
                          </w:rPr>
                        </w:pPr>
                        <w:r>
                          <w:rPr>
                            <w:rFonts w:ascii="Times New Roman"/>
                            <w:sz w:val="24"/>
                          </w:rPr>
                          <w:t>3625879.17</w:t>
                        </w:r>
                      </w:p>
                    </w:tc>
                    <w:tc>
                      <w:tcPr>
                        <w:tcW w:w="2925" w:type="dxa"/>
                        <w:tcBorders>
                          <w:top w:val="single" w:sz="4" w:space="0" w:color="000000"/>
                          <w:left w:val="single" w:sz="4" w:space="0" w:color="000000"/>
                          <w:bottom w:val="single" w:sz="4" w:space="0" w:color="000000"/>
                          <w:right w:val="nil"/>
                        </w:tcBorders>
                      </w:tcPr>
                      <w:p>
                        <w:pPr>
                          <w:pStyle w:val="TableParagraph"/>
                          <w:spacing w:before="100"/>
                          <w:ind w:left="820" w:right="800"/>
                          <w:jc w:val="center"/>
                          <w:rPr>
                            <w:rFonts w:ascii="Times New Roman"/>
                            <w:sz w:val="24"/>
                          </w:rPr>
                        </w:pPr>
                        <w:r>
                          <w:rPr>
                            <w:rFonts w:ascii="Times New Roman"/>
                            <w:sz w:val="24"/>
                          </w:rPr>
                          <w:t>36569852.40</w:t>
                        </w:r>
                      </w:p>
                    </w:tc>
                  </w:tr>
                  <w:tr>
                    <w:trPr>
                      <w:trHeight w:val="473" w:hRule="atLeast"/>
                    </w:trPr>
                    <w:tc>
                      <w:tcPr>
                        <w:tcW w:w="1425" w:type="dxa"/>
                        <w:tcBorders>
                          <w:top w:val="single" w:sz="4" w:space="0" w:color="000000"/>
                          <w:left w:val="nil"/>
                          <w:bottom w:val="single" w:sz="4" w:space="0" w:color="000000"/>
                          <w:right w:val="single" w:sz="4" w:space="0" w:color="000000"/>
                        </w:tcBorders>
                      </w:tcPr>
                      <w:p>
                        <w:pPr>
                          <w:pStyle w:val="TableParagraph"/>
                          <w:spacing w:before="98"/>
                          <w:ind w:right="631"/>
                          <w:jc w:val="right"/>
                          <w:rPr>
                            <w:rFonts w:ascii="Times New Roman"/>
                            <w:sz w:val="24"/>
                          </w:rPr>
                        </w:pPr>
                        <w:r>
                          <w:rPr>
                            <w:rFonts w:ascii="Times New Roman"/>
                            <w:sz w:val="24"/>
                          </w:rPr>
                          <w:t>3</w:t>
                        </w:r>
                      </w:p>
                    </w:tc>
                    <w:tc>
                      <w:tcPr>
                        <w:tcW w:w="2805" w:type="dxa"/>
                        <w:tcBorders>
                          <w:top w:val="single" w:sz="4" w:space="0" w:color="000000"/>
                          <w:left w:val="single" w:sz="4" w:space="0" w:color="000000"/>
                          <w:bottom w:val="single" w:sz="4" w:space="0" w:color="000000"/>
                          <w:right w:val="single" w:sz="4" w:space="0" w:color="000000"/>
                        </w:tcBorders>
                      </w:tcPr>
                      <w:p>
                        <w:pPr>
                          <w:pStyle w:val="TableParagraph"/>
                          <w:spacing w:before="98"/>
                          <w:ind w:left="822" w:right="793"/>
                          <w:jc w:val="center"/>
                          <w:rPr>
                            <w:rFonts w:ascii="Times New Roman"/>
                            <w:sz w:val="24"/>
                          </w:rPr>
                        </w:pPr>
                        <w:r>
                          <w:rPr>
                            <w:rFonts w:ascii="Times New Roman"/>
                            <w:sz w:val="24"/>
                          </w:rPr>
                          <w:t>3625759.58</w:t>
                        </w:r>
                      </w:p>
                    </w:tc>
                    <w:tc>
                      <w:tcPr>
                        <w:tcW w:w="2925" w:type="dxa"/>
                        <w:tcBorders>
                          <w:top w:val="single" w:sz="4" w:space="0" w:color="000000"/>
                          <w:left w:val="single" w:sz="4" w:space="0" w:color="000000"/>
                          <w:bottom w:val="single" w:sz="4" w:space="0" w:color="000000"/>
                          <w:right w:val="nil"/>
                        </w:tcBorders>
                      </w:tcPr>
                      <w:p>
                        <w:pPr>
                          <w:pStyle w:val="TableParagraph"/>
                          <w:spacing w:before="98"/>
                          <w:ind w:left="820" w:right="800"/>
                          <w:jc w:val="center"/>
                          <w:rPr>
                            <w:rFonts w:ascii="Times New Roman"/>
                            <w:sz w:val="24"/>
                          </w:rPr>
                        </w:pPr>
                        <w:r>
                          <w:rPr>
                            <w:rFonts w:ascii="Times New Roman"/>
                            <w:sz w:val="24"/>
                          </w:rPr>
                          <w:t>36569941.07</w:t>
                        </w:r>
                      </w:p>
                    </w:tc>
                  </w:tr>
                  <w:tr>
                    <w:trPr>
                      <w:trHeight w:val="473" w:hRule="atLeast"/>
                    </w:trPr>
                    <w:tc>
                      <w:tcPr>
                        <w:tcW w:w="1425" w:type="dxa"/>
                        <w:tcBorders>
                          <w:top w:val="single" w:sz="4" w:space="0" w:color="000000"/>
                          <w:left w:val="nil"/>
                          <w:bottom w:val="single" w:sz="4" w:space="0" w:color="000000"/>
                          <w:right w:val="single" w:sz="4" w:space="0" w:color="000000"/>
                        </w:tcBorders>
                      </w:tcPr>
                      <w:p>
                        <w:pPr>
                          <w:pStyle w:val="TableParagraph"/>
                          <w:spacing w:before="99"/>
                          <w:ind w:right="631"/>
                          <w:jc w:val="right"/>
                          <w:rPr>
                            <w:rFonts w:ascii="Times New Roman"/>
                            <w:sz w:val="24"/>
                          </w:rPr>
                        </w:pPr>
                        <w:r>
                          <w:rPr>
                            <w:rFonts w:ascii="Times New Roman"/>
                            <w:sz w:val="24"/>
                          </w:rPr>
                          <w:t>4</w:t>
                        </w:r>
                      </w:p>
                    </w:tc>
                    <w:tc>
                      <w:tcPr>
                        <w:tcW w:w="2805" w:type="dxa"/>
                        <w:tcBorders>
                          <w:top w:val="single" w:sz="4" w:space="0" w:color="000000"/>
                          <w:left w:val="single" w:sz="4" w:space="0" w:color="000000"/>
                          <w:bottom w:val="single" w:sz="4" w:space="0" w:color="000000"/>
                          <w:right w:val="single" w:sz="4" w:space="0" w:color="000000"/>
                        </w:tcBorders>
                      </w:tcPr>
                      <w:p>
                        <w:pPr>
                          <w:pStyle w:val="TableParagraph"/>
                          <w:spacing w:before="99"/>
                          <w:ind w:left="822" w:right="793"/>
                          <w:jc w:val="center"/>
                          <w:rPr>
                            <w:rFonts w:ascii="Times New Roman"/>
                            <w:sz w:val="24"/>
                          </w:rPr>
                        </w:pPr>
                        <w:r>
                          <w:rPr>
                            <w:rFonts w:ascii="Times New Roman"/>
                            <w:sz w:val="24"/>
                          </w:rPr>
                          <w:t>3625692.57</w:t>
                        </w:r>
                      </w:p>
                    </w:tc>
                    <w:tc>
                      <w:tcPr>
                        <w:tcW w:w="2925" w:type="dxa"/>
                        <w:tcBorders>
                          <w:top w:val="single" w:sz="4" w:space="0" w:color="000000"/>
                          <w:left w:val="single" w:sz="4" w:space="0" w:color="000000"/>
                          <w:bottom w:val="single" w:sz="4" w:space="0" w:color="000000"/>
                          <w:right w:val="nil"/>
                        </w:tcBorders>
                      </w:tcPr>
                      <w:p>
                        <w:pPr>
                          <w:pStyle w:val="TableParagraph"/>
                          <w:spacing w:before="99"/>
                          <w:ind w:left="820" w:right="800"/>
                          <w:jc w:val="center"/>
                          <w:rPr>
                            <w:rFonts w:ascii="Times New Roman"/>
                            <w:sz w:val="24"/>
                          </w:rPr>
                        </w:pPr>
                        <w:r>
                          <w:rPr>
                            <w:rFonts w:ascii="Times New Roman"/>
                            <w:sz w:val="24"/>
                          </w:rPr>
                          <w:t>36569919.22</w:t>
                        </w:r>
                      </w:p>
                    </w:tc>
                  </w:tr>
                  <w:tr>
                    <w:trPr>
                      <w:trHeight w:val="473" w:hRule="atLeast"/>
                    </w:trPr>
                    <w:tc>
                      <w:tcPr>
                        <w:tcW w:w="1425" w:type="dxa"/>
                        <w:tcBorders>
                          <w:top w:val="single" w:sz="4" w:space="0" w:color="000000"/>
                          <w:left w:val="nil"/>
                          <w:right w:val="single" w:sz="4" w:space="0" w:color="000000"/>
                        </w:tcBorders>
                      </w:tcPr>
                      <w:p>
                        <w:pPr>
                          <w:pStyle w:val="TableParagraph"/>
                          <w:spacing w:before="100"/>
                          <w:ind w:right="631"/>
                          <w:jc w:val="right"/>
                          <w:rPr>
                            <w:rFonts w:ascii="Times New Roman"/>
                            <w:sz w:val="24"/>
                          </w:rPr>
                        </w:pPr>
                        <w:r>
                          <w:rPr>
                            <w:rFonts w:ascii="Times New Roman"/>
                            <w:sz w:val="24"/>
                          </w:rPr>
                          <w:t>5</w:t>
                        </w:r>
                      </w:p>
                    </w:tc>
                    <w:tc>
                      <w:tcPr>
                        <w:tcW w:w="2805" w:type="dxa"/>
                        <w:tcBorders>
                          <w:top w:val="single" w:sz="4" w:space="0" w:color="000000"/>
                          <w:left w:val="single" w:sz="4" w:space="0" w:color="000000"/>
                          <w:right w:val="single" w:sz="4" w:space="0" w:color="000000"/>
                        </w:tcBorders>
                      </w:tcPr>
                      <w:p>
                        <w:pPr>
                          <w:pStyle w:val="TableParagraph"/>
                          <w:spacing w:before="100"/>
                          <w:ind w:left="822" w:right="793"/>
                          <w:jc w:val="center"/>
                          <w:rPr>
                            <w:rFonts w:ascii="Times New Roman"/>
                            <w:sz w:val="24"/>
                          </w:rPr>
                        </w:pPr>
                        <w:r>
                          <w:rPr>
                            <w:rFonts w:ascii="Times New Roman"/>
                            <w:sz w:val="24"/>
                          </w:rPr>
                          <w:t>3625673.00</w:t>
                        </w:r>
                      </w:p>
                    </w:tc>
                    <w:tc>
                      <w:tcPr>
                        <w:tcW w:w="2925" w:type="dxa"/>
                        <w:tcBorders>
                          <w:top w:val="single" w:sz="4" w:space="0" w:color="000000"/>
                          <w:left w:val="single" w:sz="4" w:space="0" w:color="000000"/>
                          <w:right w:val="nil"/>
                        </w:tcBorders>
                      </w:tcPr>
                      <w:p>
                        <w:pPr>
                          <w:pStyle w:val="TableParagraph"/>
                          <w:spacing w:before="100"/>
                          <w:ind w:left="820" w:right="800"/>
                          <w:jc w:val="center"/>
                          <w:rPr>
                            <w:rFonts w:ascii="Times New Roman"/>
                            <w:sz w:val="24"/>
                          </w:rPr>
                        </w:pPr>
                        <w:r>
                          <w:rPr>
                            <w:rFonts w:ascii="Times New Roman"/>
                            <w:sz w:val="24"/>
                          </w:rPr>
                          <w:t>36569867.23</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tbl>
      <w:tblPr>
        <w:tblW w:w="0" w:type="auto"/>
        <w:jc w:val="left"/>
        <w:tblInd w:w="2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12"/>
        <w:gridCol w:w="1105"/>
        <w:gridCol w:w="729"/>
        <w:gridCol w:w="1079"/>
        <w:gridCol w:w="4201"/>
        <w:gridCol w:w="1829"/>
      </w:tblGrid>
      <w:tr>
        <w:trPr>
          <w:trHeight w:val="897" w:hRule="atLeast"/>
        </w:trPr>
        <w:tc>
          <w:tcPr>
            <w:tcW w:w="1717" w:type="dxa"/>
            <w:gridSpan w:val="2"/>
            <w:tcBorders>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507"/>
              <w:rPr>
                <w:sz w:val="21"/>
              </w:rPr>
            </w:pPr>
            <w:r>
              <w:rPr>
                <w:sz w:val="21"/>
              </w:rPr>
              <w:t>主体工程</w:t>
            </w:r>
          </w:p>
        </w:tc>
        <w:tc>
          <w:tcPr>
            <w:tcW w:w="1808" w:type="dxa"/>
            <w:gridSpan w:val="2"/>
            <w:tcBorders>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588"/>
              <w:rPr>
                <w:sz w:val="21"/>
              </w:rPr>
            </w:pPr>
            <w:r>
              <w:rPr>
                <w:sz w:val="21"/>
              </w:rPr>
              <w:t>采矿区</w:t>
            </w:r>
          </w:p>
        </w:tc>
        <w:tc>
          <w:tcPr>
            <w:tcW w:w="4201" w:type="dxa"/>
            <w:tcBorders>
              <w:left w:val="single" w:sz="4" w:space="0" w:color="000000"/>
              <w:bottom w:val="single" w:sz="4" w:space="0" w:color="000000"/>
              <w:right w:val="single" w:sz="4" w:space="0" w:color="000000"/>
            </w:tcBorders>
          </w:tcPr>
          <w:p>
            <w:pPr>
              <w:pStyle w:val="TableParagraph"/>
              <w:spacing w:line="266" w:lineRule="auto" w:before="28"/>
              <w:ind w:left="107" w:right="-15"/>
              <w:rPr>
                <w:sz w:val="21"/>
              </w:rPr>
            </w:pPr>
            <w:r>
              <w:rPr>
                <w:w w:val="99"/>
                <w:sz w:val="21"/>
              </w:rPr>
              <w:t>矿区面积</w:t>
            </w:r>
            <w:r>
              <w:rPr>
                <w:spacing w:val="-55"/>
                <w:sz w:val="21"/>
              </w:rPr>
              <w:t> </w:t>
            </w:r>
            <w:r>
              <w:rPr>
                <w:rFonts w:ascii="Times New Roman" w:eastAsia="Times New Roman"/>
                <w:spacing w:val="1"/>
                <w:w w:val="99"/>
                <w:sz w:val="21"/>
              </w:rPr>
              <w:t>0</w:t>
            </w:r>
            <w:r>
              <w:rPr>
                <w:rFonts w:ascii="Times New Roman" w:eastAsia="Times New Roman"/>
                <w:w w:val="99"/>
                <w:sz w:val="21"/>
              </w:rPr>
              <w:t>.</w:t>
            </w:r>
            <w:r>
              <w:rPr>
                <w:rFonts w:ascii="Times New Roman" w:eastAsia="Times New Roman"/>
                <w:spacing w:val="1"/>
                <w:w w:val="99"/>
                <w:sz w:val="21"/>
              </w:rPr>
              <w:t>01</w:t>
            </w:r>
            <w:r>
              <w:rPr>
                <w:rFonts w:ascii="Times New Roman" w:eastAsia="Times New Roman"/>
                <w:spacing w:val="-2"/>
                <w:w w:val="99"/>
                <w:sz w:val="21"/>
              </w:rPr>
              <w:t>7</w:t>
            </w:r>
            <w:r>
              <w:rPr>
                <w:rFonts w:ascii="Times New Roman" w:eastAsia="Times New Roman"/>
                <w:spacing w:val="1"/>
                <w:w w:val="99"/>
                <w:sz w:val="21"/>
              </w:rPr>
              <w:t>3</w:t>
            </w:r>
            <w:r>
              <w:rPr>
                <w:rFonts w:ascii="Times New Roman" w:eastAsia="Times New Roman"/>
                <w:spacing w:val="-2"/>
                <w:w w:val="99"/>
                <w:sz w:val="21"/>
              </w:rPr>
              <w:t>k</w:t>
            </w:r>
            <w:r>
              <w:rPr>
                <w:rFonts w:ascii="Times New Roman" w:eastAsia="Times New Roman"/>
                <w:w w:val="99"/>
                <w:sz w:val="21"/>
              </w:rPr>
              <w:t>m</w:t>
            </w:r>
            <w:r>
              <w:rPr>
                <w:rFonts w:ascii="Times New Roman" w:eastAsia="Times New Roman"/>
                <w:spacing w:val="1"/>
                <w:w w:val="105"/>
                <w:position w:val="7"/>
                <w:sz w:val="13"/>
              </w:rPr>
              <w:t>2</w:t>
            </w:r>
            <w:r>
              <w:rPr>
                <w:spacing w:val="-35"/>
                <w:w w:val="99"/>
                <w:sz w:val="21"/>
              </w:rPr>
              <w:t>，开采标高：</w:t>
            </w:r>
            <w:r>
              <w:rPr>
                <w:rFonts w:ascii="Times New Roman" w:eastAsia="Times New Roman"/>
                <w:spacing w:val="1"/>
                <w:w w:val="99"/>
                <w:sz w:val="21"/>
              </w:rPr>
              <w:t>294</w:t>
            </w:r>
            <w:r>
              <w:rPr>
                <w:rFonts w:ascii="Times New Roman" w:eastAsia="Times New Roman"/>
                <w:spacing w:val="-2"/>
                <w:w w:val="99"/>
                <w:sz w:val="21"/>
              </w:rPr>
              <w:t>m</w:t>
            </w:r>
            <w:r>
              <w:rPr>
                <w:rFonts w:ascii="Times New Roman" w:eastAsia="Times New Roman"/>
                <w:w w:val="99"/>
                <w:sz w:val="21"/>
              </w:rPr>
              <w:t>-</w:t>
            </w:r>
            <w:r>
              <w:rPr>
                <w:rFonts w:ascii="Times New Roman" w:eastAsia="Times New Roman"/>
                <w:spacing w:val="1"/>
                <w:w w:val="99"/>
                <w:sz w:val="21"/>
              </w:rPr>
              <w:t>325</w:t>
            </w:r>
            <w:r>
              <w:rPr>
                <w:rFonts w:ascii="Times New Roman" w:eastAsia="Times New Roman"/>
                <w:w w:val="99"/>
                <w:sz w:val="21"/>
              </w:rPr>
              <w:t>m</w:t>
            </w:r>
            <w:r>
              <w:rPr>
                <w:w w:val="99"/>
                <w:sz w:val="21"/>
              </w:rPr>
              <w:t>，</w:t>
            </w:r>
            <w:r>
              <w:rPr>
                <w:spacing w:val="-2"/>
                <w:sz w:val="21"/>
              </w:rPr>
              <w:t>一条矿带，采取水平台阶分层采矿法，开采</w:t>
            </w:r>
          </w:p>
          <w:p>
            <w:pPr>
              <w:pStyle w:val="TableParagraph"/>
              <w:spacing w:line="249" w:lineRule="exact" w:before="3"/>
              <w:ind w:left="107"/>
              <w:rPr>
                <w:sz w:val="21"/>
              </w:rPr>
            </w:pPr>
            <w:r>
              <w:rPr>
                <w:spacing w:val="-14"/>
                <w:sz w:val="21"/>
              </w:rPr>
              <w:t>规模为年开采页岩矿 </w:t>
            </w:r>
            <w:r>
              <w:rPr>
                <w:rFonts w:ascii="Times New Roman" w:hAnsi="Times New Roman" w:eastAsia="Times New Roman"/>
                <w:sz w:val="21"/>
              </w:rPr>
              <w:t>1.4 </w:t>
            </w:r>
            <w:r>
              <w:rPr>
                <w:spacing w:val="43"/>
                <w:sz w:val="21"/>
              </w:rPr>
              <w:t>万</w:t>
            </w:r>
            <w:r>
              <w:rPr>
                <w:rFonts w:ascii="Times New Roman" w:hAnsi="Times New Roman" w:eastAsia="Times New Roman"/>
                <w:spacing w:val="-4"/>
                <w:sz w:val="21"/>
              </w:rPr>
              <w:t>m³</w:t>
            </w:r>
            <w:r>
              <w:rPr>
                <w:sz w:val="21"/>
              </w:rPr>
              <w:t>。</w:t>
            </w:r>
          </w:p>
        </w:tc>
        <w:tc>
          <w:tcPr>
            <w:tcW w:w="1829" w:type="dxa"/>
            <w:tcBorders>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403" w:right="533"/>
              <w:jc w:val="center"/>
              <w:rPr>
                <w:sz w:val="21"/>
              </w:rPr>
            </w:pPr>
            <w:r>
              <w:rPr>
                <w:sz w:val="21"/>
              </w:rPr>
              <w:t>新建</w:t>
            </w:r>
          </w:p>
        </w:tc>
      </w:tr>
      <w:tr>
        <w:trPr>
          <w:trHeight w:val="703" w:hRule="atLeast"/>
        </w:trPr>
        <w:tc>
          <w:tcPr>
            <w:tcW w:w="17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16"/>
              </w:rPr>
            </w:pPr>
          </w:p>
          <w:p>
            <w:pPr>
              <w:pStyle w:val="TableParagraph"/>
              <w:ind w:left="507"/>
              <w:rPr>
                <w:sz w:val="21"/>
              </w:rPr>
            </w:pPr>
            <w:r>
              <w:rPr>
                <w:sz w:val="21"/>
              </w:rPr>
              <w:t>辅助工程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16"/>
              </w:rPr>
            </w:pPr>
          </w:p>
          <w:p>
            <w:pPr>
              <w:pStyle w:val="TableParagraph"/>
              <w:ind w:left="672" w:right="665"/>
              <w:jc w:val="center"/>
              <w:rPr>
                <w:sz w:val="21"/>
              </w:rPr>
            </w:pPr>
            <w:r>
              <w:rPr>
                <w:sz w:val="21"/>
              </w:rPr>
              <w:t>矿部</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16"/>
              </w:rPr>
            </w:pPr>
          </w:p>
          <w:p>
            <w:pPr>
              <w:pStyle w:val="TableParagraph"/>
              <w:ind w:left="107" w:right="-15"/>
              <w:rPr>
                <w:sz w:val="21"/>
              </w:rPr>
            </w:pPr>
            <w:r>
              <w:rPr>
                <w:spacing w:val="-12"/>
                <w:sz w:val="21"/>
              </w:rPr>
              <w:t>位于矿区东侧，活动板房，面积约为 </w:t>
            </w:r>
            <w:r>
              <w:rPr>
                <w:rFonts w:ascii="Times New Roman" w:eastAsia="Times New Roman"/>
                <w:sz w:val="21"/>
              </w:rPr>
              <w:t>150m</w:t>
            </w:r>
            <w:r>
              <w:rPr>
                <w:rFonts w:ascii="Times New Roman" w:eastAsia="Times New Roman"/>
                <w:position w:val="7"/>
                <w:sz w:val="13"/>
              </w:rPr>
              <w:t>2</w:t>
            </w:r>
            <w:r>
              <w:rPr>
                <w:sz w:val="21"/>
              </w:rPr>
              <w:t>。</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16"/>
              </w:rPr>
            </w:pPr>
          </w:p>
          <w:p>
            <w:pPr>
              <w:pStyle w:val="TableParagraph"/>
              <w:ind w:left="403" w:right="535"/>
              <w:jc w:val="center"/>
              <w:rPr>
                <w:sz w:val="21"/>
              </w:rPr>
            </w:pPr>
            <w:r>
              <w:rPr>
                <w:sz w:val="21"/>
              </w:rPr>
              <w:t>依托砖厂</w:t>
            </w:r>
          </w:p>
        </w:tc>
      </w:tr>
      <w:tr>
        <w:trPr>
          <w:trHeight w:val="600" w:hRule="atLeast"/>
        </w:trPr>
        <w:tc>
          <w:tcPr>
            <w:tcW w:w="1717"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55"/>
              <w:ind w:left="507"/>
              <w:rPr>
                <w:sz w:val="21"/>
              </w:rPr>
            </w:pPr>
            <w:r>
              <w:rPr>
                <w:sz w:val="21"/>
              </w:rPr>
              <w:t>公用工程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6"/>
              <w:ind w:left="672" w:right="665"/>
              <w:jc w:val="center"/>
              <w:rPr>
                <w:sz w:val="21"/>
              </w:rPr>
            </w:pPr>
            <w:r>
              <w:rPr>
                <w:sz w:val="21"/>
              </w:rPr>
              <w:t>供水</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29"/>
              <w:ind w:left="107"/>
              <w:rPr>
                <w:sz w:val="21"/>
              </w:rPr>
            </w:pPr>
            <w:r>
              <w:rPr>
                <w:sz w:val="21"/>
              </w:rPr>
              <w:t>生活用水采用砖厂机井地下水，生活污水采</w:t>
            </w:r>
          </w:p>
          <w:p>
            <w:pPr>
              <w:pStyle w:val="TableParagraph"/>
              <w:spacing w:line="251" w:lineRule="exact" w:before="31"/>
              <w:ind w:left="107"/>
              <w:rPr>
                <w:sz w:val="21"/>
              </w:rPr>
            </w:pPr>
            <w:r>
              <w:rPr>
                <w:sz w:val="21"/>
              </w:rPr>
              <w:t>用化粪池处理，用于周边林地的施肥。</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66"/>
              <w:ind w:left="403" w:right="535"/>
              <w:jc w:val="center"/>
              <w:rPr>
                <w:sz w:val="21"/>
              </w:rPr>
            </w:pPr>
            <w:r>
              <w:rPr>
                <w:sz w:val="21"/>
              </w:rPr>
              <w:t>依托砖厂</w:t>
            </w:r>
          </w:p>
        </w:tc>
      </w:tr>
      <w:tr>
        <w:trPr>
          <w:trHeight w:val="900" w:hRule="atLeast"/>
        </w:trPr>
        <w:tc>
          <w:tcPr>
            <w:tcW w:w="1717" w:type="dxa"/>
            <w:gridSpan w:val="2"/>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672" w:right="665"/>
              <w:jc w:val="center"/>
              <w:rPr>
                <w:sz w:val="21"/>
              </w:rPr>
            </w:pPr>
            <w:r>
              <w:rPr>
                <w:sz w:val="21"/>
              </w:rPr>
              <w:t>排水</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line="300" w:lineRule="atLeast"/>
              <w:ind w:left="107" w:right="97"/>
              <w:jc w:val="both"/>
              <w:rPr>
                <w:sz w:val="21"/>
              </w:rPr>
            </w:pPr>
            <w:r>
              <w:rPr>
                <w:spacing w:val="-1"/>
                <w:w w:val="95"/>
                <w:sz w:val="21"/>
              </w:rPr>
              <w:t>生活污水设置化粪池，定期清掏用于附近林 </w:t>
            </w:r>
            <w:r>
              <w:rPr>
                <w:spacing w:val="-2"/>
                <w:w w:val="95"/>
                <w:sz w:val="21"/>
              </w:rPr>
              <w:t>地施肥；职工生活盥洗废水用于厂区洒水降</w:t>
            </w:r>
            <w:r>
              <w:rPr>
                <w:spacing w:val="-2"/>
                <w:sz w:val="21"/>
              </w:rPr>
              <w:t>尘。</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403" w:right="535"/>
              <w:jc w:val="center"/>
              <w:rPr>
                <w:sz w:val="21"/>
              </w:rPr>
            </w:pPr>
            <w:r>
              <w:rPr>
                <w:sz w:val="21"/>
              </w:rPr>
              <w:t>依托砖厂</w:t>
            </w:r>
          </w:p>
        </w:tc>
      </w:tr>
      <w:tr>
        <w:trPr>
          <w:trHeight w:val="600" w:hRule="atLeast"/>
        </w:trPr>
        <w:tc>
          <w:tcPr>
            <w:tcW w:w="1717" w:type="dxa"/>
            <w:gridSpan w:val="2"/>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5"/>
              <w:ind w:left="672" w:right="665"/>
              <w:jc w:val="center"/>
              <w:rPr>
                <w:sz w:val="21"/>
              </w:rPr>
            </w:pPr>
            <w:r>
              <w:rPr>
                <w:sz w:val="21"/>
              </w:rPr>
              <w:t>供电</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line="300" w:lineRule="exact"/>
              <w:ind w:left="107" w:right="33"/>
              <w:rPr>
                <w:sz w:val="21"/>
              </w:rPr>
            </w:pPr>
            <w:r>
              <w:rPr>
                <w:sz w:val="21"/>
              </w:rPr>
              <w:t>电源由恒口镇农网引入 </w:t>
            </w:r>
            <w:r>
              <w:rPr>
                <w:rFonts w:ascii="Times New Roman" w:eastAsia="Times New Roman"/>
                <w:sz w:val="21"/>
              </w:rPr>
              <w:t>10KV </w:t>
            </w:r>
            <w:r>
              <w:rPr>
                <w:sz w:val="21"/>
              </w:rPr>
              <w:t>线缆至厂区， 厂内设置 </w:t>
            </w:r>
            <w:r>
              <w:rPr>
                <w:rFonts w:ascii="Times New Roman" w:eastAsia="Times New Roman"/>
                <w:sz w:val="21"/>
              </w:rPr>
              <w:t>400KVA </w:t>
            </w:r>
            <w:r>
              <w:rPr>
                <w:sz w:val="21"/>
              </w:rPr>
              <w:t>干式变压器。</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65"/>
              <w:ind w:left="403" w:right="535"/>
              <w:jc w:val="center"/>
              <w:rPr>
                <w:sz w:val="21"/>
              </w:rPr>
            </w:pPr>
            <w:r>
              <w:rPr>
                <w:sz w:val="21"/>
              </w:rPr>
              <w:t>依托砖厂</w:t>
            </w:r>
          </w:p>
        </w:tc>
      </w:tr>
      <w:tr>
        <w:trPr>
          <w:trHeight w:val="330" w:hRule="atLeast"/>
        </w:trPr>
        <w:tc>
          <w:tcPr>
            <w:tcW w:w="612" w:type="dxa"/>
            <w:vMerge w:val="restart"/>
            <w:tcBorders>
              <w:top w:val="single" w:sz="4" w:space="0" w:color="000000"/>
              <w:left w:val="single" w:sz="4" w:space="0" w:color="000000"/>
              <w:bottom w:val="single" w:sz="12"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line="278" w:lineRule="auto" w:before="157"/>
              <w:ind w:left="270" w:right="120"/>
              <w:jc w:val="both"/>
              <w:rPr>
                <w:sz w:val="21"/>
              </w:rPr>
            </w:pPr>
            <w:r>
              <w:rPr>
                <w:sz w:val="21"/>
              </w:rPr>
              <w:t>环保工程</w:t>
            </w:r>
          </w:p>
        </w:tc>
        <w:tc>
          <w:tcPr>
            <w:tcW w:w="1105" w:type="dxa"/>
            <w:tcBorders>
              <w:top w:val="single" w:sz="4" w:space="0" w:color="000000"/>
              <w:left w:val="single" w:sz="4" w:space="0" w:color="000000"/>
              <w:bottom w:val="single" w:sz="4" w:space="0" w:color="000000"/>
              <w:right w:val="single" w:sz="4" w:space="0" w:color="000000"/>
            </w:tcBorders>
          </w:tcPr>
          <w:p>
            <w:pPr>
              <w:pStyle w:val="TableParagraph"/>
              <w:spacing w:before="35"/>
              <w:ind w:left="321" w:right="314"/>
              <w:jc w:val="center"/>
              <w:rPr>
                <w:sz w:val="21"/>
              </w:rPr>
            </w:pPr>
            <w:r>
              <w:rPr>
                <w:sz w:val="21"/>
              </w:rPr>
              <w:t>废水</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35"/>
              <w:ind w:left="108"/>
              <w:rPr>
                <w:sz w:val="21"/>
              </w:rPr>
            </w:pPr>
            <w:r>
              <w:rPr>
                <w:sz w:val="21"/>
              </w:rPr>
              <w:t>矿部设置 </w:t>
            </w:r>
            <w:r>
              <w:rPr>
                <w:rFonts w:ascii="Times New Roman" w:eastAsia="Times New Roman"/>
                <w:sz w:val="21"/>
              </w:rPr>
              <w:t>1 </w:t>
            </w:r>
            <w:r>
              <w:rPr>
                <w:sz w:val="21"/>
              </w:rPr>
              <w:t>座化粪池，用于收集职工生活污水。</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35"/>
              <w:ind w:left="403" w:right="535"/>
              <w:jc w:val="center"/>
              <w:rPr>
                <w:sz w:val="21"/>
              </w:rPr>
            </w:pPr>
            <w:r>
              <w:rPr>
                <w:sz w:val="21"/>
              </w:rPr>
              <w:t>依托砖厂</w:t>
            </w:r>
          </w:p>
        </w:tc>
      </w:tr>
      <w:tr>
        <w:trPr>
          <w:trHeight w:val="564"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before="2"/>
              <w:rPr>
                <w:rFonts w:ascii="黑体"/>
                <w:sz w:val="20"/>
              </w:rPr>
            </w:pPr>
          </w:p>
          <w:p>
            <w:pPr>
              <w:pStyle w:val="TableParagraph"/>
              <w:ind w:left="342"/>
              <w:rPr>
                <w:sz w:val="21"/>
              </w:rPr>
            </w:pPr>
            <w:r>
              <w:rPr>
                <w:sz w:val="21"/>
              </w:rPr>
              <w:t>废气</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47"/>
              <w:ind w:left="168"/>
              <w:rPr>
                <w:sz w:val="21"/>
              </w:rPr>
            </w:pPr>
            <w:r>
              <w:rPr>
                <w:sz w:val="21"/>
              </w:rPr>
              <w:t>开采、装卸扬尘</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147"/>
              <w:ind w:left="107"/>
              <w:rPr>
                <w:sz w:val="21"/>
              </w:rPr>
            </w:pPr>
            <w:r>
              <w:rPr>
                <w:sz w:val="21"/>
              </w:rPr>
              <w:t>喷淋水抑尘。</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47"/>
              <w:ind w:left="403" w:right="533"/>
              <w:jc w:val="center"/>
              <w:rPr>
                <w:sz w:val="21"/>
              </w:rPr>
            </w:pPr>
            <w:r>
              <w:rPr>
                <w:sz w:val="21"/>
              </w:rPr>
              <w:t>已建</w:t>
            </w:r>
          </w:p>
        </w:tc>
      </w:tr>
      <w:tr>
        <w:trPr>
          <w:trHeight w:val="365"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379"/>
              <w:rPr>
                <w:sz w:val="21"/>
              </w:rPr>
            </w:pPr>
            <w:r>
              <w:rPr>
                <w:sz w:val="21"/>
              </w:rPr>
              <w:t>排土场废气</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1"/>
              </w:rPr>
            </w:pPr>
            <w:r>
              <w:rPr>
                <w:sz w:val="21"/>
              </w:rPr>
              <w:t>喷淋设施，压实。</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48"/>
              <w:ind w:left="403" w:right="533"/>
              <w:jc w:val="center"/>
              <w:rPr>
                <w:sz w:val="21"/>
              </w:rPr>
            </w:pPr>
            <w:r>
              <w:rPr>
                <w:sz w:val="21"/>
              </w:rPr>
              <w:t>未建</w:t>
            </w:r>
          </w:p>
        </w:tc>
      </w:tr>
      <w:tr>
        <w:trPr>
          <w:trHeight w:val="310"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482"/>
              <w:rPr>
                <w:sz w:val="21"/>
              </w:rPr>
            </w:pPr>
            <w:r>
              <w:rPr>
                <w:sz w:val="21"/>
              </w:rPr>
              <w:t>运输扬尘</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20"/>
              <w:ind w:left="107"/>
              <w:rPr>
                <w:sz w:val="21"/>
              </w:rPr>
            </w:pPr>
            <w:r>
              <w:rPr>
                <w:sz w:val="21"/>
              </w:rPr>
              <w:t>定期洒水，清扫道路。</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20"/>
              <w:ind w:left="403" w:right="533"/>
              <w:jc w:val="center"/>
              <w:rPr>
                <w:sz w:val="21"/>
              </w:rPr>
            </w:pPr>
            <w:r>
              <w:rPr>
                <w:sz w:val="21"/>
              </w:rPr>
              <w:t>已建</w:t>
            </w:r>
          </w:p>
        </w:tc>
      </w:tr>
      <w:tr>
        <w:trPr>
          <w:trHeight w:val="310"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before="21"/>
              <w:ind w:left="321" w:right="314"/>
              <w:jc w:val="center"/>
              <w:rPr>
                <w:sz w:val="21"/>
              </w:rPr>
            </w:pPr>
            <w:r>
              <w:rPr>
                <w:sz w:val="21"/>
              </w:rPr>
              <w:t>噪声</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line="269" w:lineRule="exact" w:before="21"/>
              <w:ind w:left="108"/>
              <w:rPr>
                <w:sz w:val="21"/>
              </w:rPr>
            </w:pPr>
            <w:r>
              <w:rPr>
                <w:sz w:val="21"/>
              </w:rPr>
              <w:t>采矿机械设备噪声采取减振；运输车辆限速禁鸣等降噪措施。</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before="21"/>
              <w:ind w:left="403" w:right="533"/>
              <w:jc w:val="center"/>
              <w:rPr>
                <w:sz w:val="21"/>
              </w:rPr>
            </w:pPr>
            <w:r>
              <w:rPr>
                <w:sz w:val="21"/>
              </w:rPr>
              <w:t>已建</w:t>
            </w:r>
          </w:p>
        </w:tc>
      </w:tr>
      <w:tr>
        <w:trPr>
          <w:trHeight w:val="432"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
              <w:rPr>
                <w:rFonts w:ascii="黑体"/>
                <w:sz w:val="24"/>
              </w:rPr>
            </w:pPr>
          </w:p>
          <w:p>
            <w:pPr>
              <w:pStyle w:val="TableParagraph"/>
              <w:spacing w:before="1"/>
              <w:ind w:left="130"/>
              <w:rPr>
                <w:sz w:val="21"/>
              </w:rPr>
            </w:pPr>
            <w:r>
              <w:rPr>
                <w:sz w:val="21"/>
              </w:rPr>
              <w:t>固体废物</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2"/>
              <w:ind w:left="108"/>
              <w:rPr>
                <w:sz w:val="21"/>
              </w:rPr>
            </w:pPr>
            <w:r>
              <w:rPr>
                <w:sz w:val="21"/>
              </w:rPr>
              <w:t>生活垃圾集中收集后交由环卫部门统一处置。</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82"/>
              <w:ind w:left="403" w:right="535"/>
              <w:jc w:val="center"/>
              <w:rPr>
                <w:sz w:val="21"/>
              </w:rPr>
            </w:pPr>
            <w:r>
              <w:rPr>
                <w:sz w:val="21"/>
              </w:rPr>
              <w:t>依托砖厂</w:t>
            </w:r>
          </w:p>
        </w:tc>
      </w:tr>
      <w:tr>
        <w:trPr>
          <w:trHeight w:val="433"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2"/>
              <w:ind w:left="108"/>
              <w:rPr>
                <w:sz w:val="21"/>
              </w:rPr>
            </w:pPr>
            <w:r>
              <w:rPr>
                <w:sz w:val="21"/>
              </w:rPr>
              <w:t>剥离的表土置于表土场，用于土地复垦植被恢复。</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82"/>
              <w:ind w:left="403" w:right="533"/>
              <w:jc w:val="center"/>
              <w:rPr>
                <w:sz w:val="21"/>
              </w:rPr>
            </w:pPr>
            <w:r>
              <w:rPr>
                <w:sz w:val="21"/>
              </w:rPr>
              <w:t>未建</w:t>
            </w:r>
          </w:p>
        </w:tc>
      </w:tr>
      <w:tr>
        <w:trPr>
          <w:trHeight w:val="613"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834" w:type="dxa"/>
            <w:gridSpan w:val="2"/>
            <w:tcBorders>
              <w:top w:val="single" w:sz="4" w:space="0" w:color="000000"/>
              <w:left w:val="single" w:sz="4" w:space="0" w:color="000000"/>
              <w:bottom w:val="single" w:sz="12" w:space="0" w:color="000000"/>
              <w:right w:val="single" w:sz="4" w:space="0" w:color="000000"/>
            </w:tcBorders>
          </w:tcPr>
          <w:p>
            <w:pPr>
              <w:pStyle w:val="TableParagraph"/>
              <w:spacing w:before="166"/>
              <w:ind w:left="181"/>
              <w:rPr>
                <w:sz w:val="21"/>
              </w:rPr>
            </w:pPr>
            <w:r>
              <w:rPr>
                <w:sz w:val="21"/>
              </w:rPr>
              <w:t>生态保护与恢复</w:t>
            </w:r>
          </w:p>
        </w:tc>
        <w:tc>
          <w:tcPr>
            <w:tcW w:w="5280" w:type="dxa"/>
            <w:gridSpan w:val="2"/>
            <w:tcBorders>
              <w:top w:val="single" w:sz="4" w:space="0" w:color="000000"/>
              <w:left w:val="single" w:sz="4" w:space="0" w:color="000000"/>
              <w:bottom w:val="single" w:sz="12" w:space="0" w:color="000000"/>
              <w:right w:val="single" w:sz="4" w:space="0" w:color="000000"/>
            </w:tcBorders>
          </w:tcPr>
          <w:p>
            <w:pPr>
              <w:pStyle w:val="TableParagraph"/>
              <w:spacing w:before="10"/>
              <w:ind w:left="106"/>
              <w:rPr>
                <w:sz w:val="21"/>
              </w:rPr>
            </w:pPr>
            <w:r>
              <w:rPr>
                <w:spacing w:val="-8"/>
                <w:sz w:val="21"/>
              </w:rPr>
              <w:t>场地绿化、闭矿期恢复植被；开采台阶采用边开采边治理</w:t>
            </w:r>
          </w:p>
          <w:p>
            <w:pPr>
              <w:pStyle w:val="TableParagraph"/>
              <w:spacing w:before="43"/>
              <w:ind w:left="106"/>
              <w:rPr>
                <w:sz w:val="21"/>
              </w:rPr>
            </w:pPr>
            <w:r>
              <w:rPr>
                <w:sz w:val="21"/>
              </w:rPr>
              <w:t>的措施，服务期满恢复植被。</w:t>
            </w:r>
          </w:p>
        </w:tc>
        <w:tc>
          <w:tcPr>
            <w:tcW w:w="1829" w:type="dxa"/>
            <w:tcBorders>
              <w:top w:val="single" w:sz="4" w:space="0" w:color="000000"/>
              <w:left w:val="single" w:sz="4" w:space="0" w:color="000000"/>
              <w:bottom w:val="single" w:sz="12" w:space="0" w:color="000000"/>
              <w:right w:val="single" w:sz="4" w:space="0" w:color="000000"/>
            </w:tcBorders>
          </w:tcPr>
          <w:p>
            <w:pPr>
              <w:pStyle w:val="TableParagraph"/>
              <w:spacing w:before="166"/>
              <w:ind w:left="403" w:right="525"/>
              <w:jc w:val="center"/>
              <w:rPr>
                <w:sz w:val="21"/>
              </w:rPr>
            </w:pPr>
            <w:r>
              <w:rPr>
                <w:sz w:val="21"/>
              </w:rPr>
              <w:t>新建</w:t>
            </w:r>
          </w:p>
        </w:tc>
      </w:tr>
      <w:tr>
        <w:trPr>
          <w:trHeight w:val="6791" w:hRule="atLeast"/>
        </w:trPr>
        <w:tc>
          <w:tcPr>
            <w:tcW w:w="9555" w:type="dxa"/>
            <w:gridSpan w:val="6"/>
            <w:tcBorders>
              <w:top w:val="single" w:sz="12" w:space="0" w:color="000000"/>
              <w:left w:val="single" w:sz="4" w:space="0" w:color="000000"/>
              <w:bottom w:val="single" w:sz="4" w:space="0" w:color="000000"/>
              <w:right w:val="single" w:sz="4" w:space="0" w:color="000000"/>
            </w:tcBorders>
          </w:tcPr>
          <w:p>
            <w:pPr>
              <w:pStyle w:val="TableParagraph"/>
              <w:numPr>
                <w:ilvl w:val="2"/>
                <w:numId w:val="6"/>
              </w:numPr>
              <w:tabs>
                <w:tab w:pos="1127" w:val="left" w:leader="none"/>
              </w:tabs>
              <w:spacing w:line="240" w:lineRule="auto" w:before="128" w:after="0"/>
              <w:ind w:left="1126" w:right="0" w:hanging="541"/>
              <w:jc w:val="left"/>
              <w:rPr>
                <w:b/>
                <w:sz w:val="24"/>
              </w:rPr>
            </w:pPr>
            <w:r>
              <w:rPr>
                <w:b/>
                <w:sz w:val="24"/>
              </w:rPr>
              <w:t>产品方案</w:t>
            </w:r>
          </w:p>
          <w:p>
            <w:pPr>
              <w:pStyle w:val="TableParagraph"/>
              <w:spacing w:before="154"/>
              <w:ind w:left="586"/>
              <w:rPr>
                <w:sz w:val="24"/>
              </w:rPr>
            </w:pPr>
            <w:r>
              <w:rPr>
                <w:sz w:val="24"/>
              </w:rPr>
              <w:t>本项目产品方案如表 </w:t>
            </w:r>
            <w:r>
              <w:rPr>
                <w:rFonts w:ascii="Times New Roman" w:eastAsia="Times New Roman"/>
                <w:sz w:val="24"/>
              </w:rPr>
              <w:t>1.5</w:t>
            </w:r>
            <w:r>
              <w:rPr>
                <w:sz w:val="24"/>
              </w:rPr>
              <w:t>。</w:t>
            </w:r>
          </w:p>
          <w:p>
            <w:pPr>
              <w:pStyle w:val="TableParagraph"/>
              <w:tabs>
                <w:tab w:pos="4777" w:val="left" w:leader="none"/>
              </w:tabs>
              <w:spacing w:before="153"/>
              <w:ind w:left="3817"/>
              <w:rPr>
                <w:b/>
                <w:sz w:val="24"/>
              </w:rPr>
            </w:pPr>
            <w:r>
              <w:rPr>
                <w:b/>
                <w:sz w:val="24"/>
              </w:rPr>
              <w:t>表</w:t>
            </w:r>
            <w:r>
              <w:rPr>
                <w:b/>
                <w:spacing w:val="-62"/>
                <w:sz w:val="24"/>
              </w:rPr>
              <w:t> </w:t>
            </w:r>
            <w:r>
              <w:rPr>
                <w:rFonts w:ascii="Times New Roman" w:eastAsia="Times New Roman"/>
                <w:b/>
                <w:sz w:val="24"/>
              </w:rPr>
              <w:t>1.5</w:t>
              <w:tab/>
            </w:r>
            <w:r>
              <w:rPr>
                <w:b/>
                <w:sz w:val="24"/>
              </w:rPr>
              <w:t>产品方案</w:t>
            </w:r>
          </w:p>
          <w:p>
            <w:pPr>
              <w:pStyle w:val="TableParagraph"/>
              <w:rPr>
                <w:rFonts w:ascii="黑体"/>
                <w:sz w:val="26"/>
              </w:rPr>
            </w:pPr>
          </w:p>
          <w:p>
            <w:pPr>
              <w:pStyle w:val="TableParagraph"/>
              <w:spacing w:before="6"/>
              <w:rPr>
                <w:rFonts w:ascii="黑体"/>
                <w:sz w:val="34"/>
              </w:rPr>
            </w:pPr>
          </w:p>
          <w:p>
            <w:pPr>
              <w:pStyle w:val="TableParagraph"/>
              <w:numPr>
                <w:ilvl w:val="2"/>
                <w:numId w:val="6"/>
              </w:numPr>
              <w:tabs>
                <w:tab w:pos="1127" w:val="left" w:leader="none"/>
              </w:tabs>
              <w:spacing w:line="240" w:lineRule="auto" w:before="0" w:after="0"/>
              <w:ind w:left="1126" w:right="0" w:hanging="541"/>
              <w:jc w:val="left"/>
              <w:rPr>
                <w:b/>
                <w:sz w:val="24"/>
              </w:rPr>
            </w:pPr>
            <w:r>
              <w:rPr>
                <w:b/>
                <w:sz w:val="24"/>
              </w:rPr>
              <w:t>主要设备</w:t>
            </w:r>
          </w:p>
          <w:p>
            <w:pPr>
              <w:pStyle w:val="TableParagraph"/>
              <w:spacing w:before="154"/>
              <w:ind w:left="586"/>
              <w:rPr>
                <w:sz w:val="24"/>
              </w:rPr>
            </w:pPr>
            <w:r>
              <w:rPr>
                <w:sz w:val="24"/>
              </w:rPr>
              <w:t>本项目主要设备如表 </w:t>
            </w:r>
            <w:r>
              <w:rPr>
                <w:rFonts w:ascii="Times New Roman" w:eastAsia="Times New Roman"/>
                <w:sz w:val="24"/>
              </w:rPr>
              <w:t>1.6</w:t>
            </w:r>
            <w:r>
              <w:rPr>
                <w:sz w:val="24"/>
              </w:rPr>
              <w:t>。</w:t>
            </w:r>
          </w:p>
          <w:p>
            <w:pPr>
              <w:pStyle w:val="TableParagraph"/>
              <w:tabs>
                <w:tab w:pos="4587" w:val="left" w:leader="none"/>
              </w:tabs>
              <w:spacing w:before="118"/>
              <w:ind w:left="3709"/>
              <w:rPr>
                <w:b/>
                <w:sz w:val="21"/>
              </w:rPr>
            </w:pPr>
            <w:r>
              <w:rPr>
                <w:b/>
                <w:sz w:val="21"/>
              </w:rPr>
              <w:t>表</w:t>
            </w:r>
            <w:r>
              <w:rPr>
                <w:b/>
                <w:spacing w:val="-55"/>
                <w:sz w:val="21"/>
              </w:rPr>
              <w:t> </w:t>
            </w:r>
            <w:r>
              <w:rPr>
                <w:rFonts w:ascii="Times New Roman" w:eastAsia="Times New Roman"/>
                <w:b/>
                <w:sz w:val="24"/>
              </w:rPr>
              <w:t>1.6</w:t>
              <w:tab/>
            </w:r>
            <w:r>
              <w:rPr>
                <w:b/>
                <w:sz w:val="21"/>
              </w:rPr>
              <w:t>项目主要设备清单</w:t>
            </w:r>
          </w:p>
          <w:p>
            <w:pPr>
              <w:pStyle w:val="TableParagraph"/>
              <w:rPr>
                <w:rFonts w:ascii="黑体"/>
                <w:sz w:val="26"/>
              </w:rPr>
            </w:pPr>
          </w:p>
          <w:p>
            <w:pPr>
              <w:pStyle w:val="TableParagraph"/>
              <w:rPr>
                <w:rFonts w:ascii="黑体"/>
                <w:sz w:val="26"/>
              </w:rPr>
            </w:pPr>
          </w:p>
          <w:p>
            <w:pPr>
              <w:pStyle w:val="TableParagraph"/>
              <w:numPr>
                <w:ilvl w:val="2"/>
                <w:numId w:val="6"/>
              </w:numPr>
              <w:tabs>
                <w:tab w:pos="1127" w:val="left" w:leader="none"/>
              </w:tabs>
              <w:spacing w:line="240" w:lineRule="auto" w:before="194" w:after="0"/>
              <w:ind w:left="1126" w:right="0" w:hanging="541"/>
              <w:jc w:val="left"/>
              <w:rPr>
                <w:b/>
                <w:sz w:val="24"/>
              </w:rPr>
            </w:pPr>
            <w:r>
              <w:rPr>
                <w:b/>
                <w:sz w:val="24"/>
              </w:rPr>
              <w:t>矿体地质特征及矿石质量</w:t>
            </w:r>
          </w:p>
          <w:p>
            <w:pPr>
              <w:pStyle w:val="TableParagraph"/>
              <w:spacing w:before="151"/>
              <w:ind w:left="586"/>
              <w:rPr>
                <w:b/>
                <w:sz w:val="24"/>
              </w:rPr>
            </w:pPr>
            <w:r>
              <w:rPr>
                <w:rFonts w:ascii="Times New Roman" w:eastAsia="Times New Roman"/>
                <w:b/>
                <w:sz w:val="24"/>
              </w:rPr>
              <w:t>1</w:t>
            </w:r>
            <w:r>
              <w:rPr>
                <w:b/>
                <w:sz w:val="24"/>
              </w:rPr>
              <w:t>、矿体地质特征</w:t>
            </w:r>
          </w:p>
          <w:p>
            <w:pPr>
              <w:pStyle w:val="TableParagraph"/>
              <w:spacing w:before="153"/>
              <w:ind w:left="586"/>
              <w:rPr>
                <w:sz w:val="24"/>
              </w:rPr>
            </w:pPr>
            <w:r>
              <w:rPr>
                <w:sz w:val="24"/>
              </w:rPr>
              <w:t>金坑村沟南砖瓦用页岩矿内共圈定矿体 </w:t>
            </w:r>
            <w:r>
              <w:rPr>
                <w:rFonts w:ascii="Times New Roman" w:eastAsia="Times New Roman"/>
                <w:sz w:val="24"/>
              </w:rPr>
              <w:t>1 </w:t>
            </w:r>
            <w:r>
              <w:rPr>
                <w:sz w:val="24"/>
              </w:rPr>
              <w:t>个，为砖瓦用页岩矿，编号为 </w:t>
            </w:r>
            <w:r>
              <w:rPr>
                <w:rFonts w:ascii="Times New Roman" w:eastAsia="Times New Roman"/>
                <w:sz w:val="24"/>
              </w:rPr>
              <w:t>K1</w:t>
            </w:r>
            <w:r>
              <w:rPr>
                <w:sz w:val="24"/>
              </w:rPr>
              <w:t>。</w:t>
            </w:r>
          </w:p>
          <w:p>
            <w:pPr>
              <w:pStyle w:val="TableParagraph"/>
              <w:spacing w:line="357" w:lineRule="auto" w:before="154"/>
              <w:ind w:left="106" w:right="-29" w:firstLine="480"/>
              <w:rPr>
                <w:sz w:val="24"/>
              </w:rPr>
            </w:pPr>
            <w:r>
              <w:rPr>
                <w:spacing w:val="-4"/>
                <w:sz w:val="24"/>
              </w:rPr>
              <w:t>矿体主要分布于第三系紫红色泥质粉砂岩层中，矿层产状 </w:t>
            </w:r>
            <w:r>
              <w:rPr>
                <w:rFonts w:ascii="Times New Roman" w:hAnsi="Times New Roman" w:eastAsia="Times New Roman"/>
                <w:sz w:val="24"/>
              </w:rPr>
              <w:t>170°</w:t>
            </w:r>
            <w:r>
              <w:rPr>
                <w:sz w:val="24"/>
              </w:rPr>
              <w:t>∠</w:t>
            </w:r>
            <w:r>
              <w:rPr>
                <w:rFonts w:ascii="Times New Roman" w:hAnsi="Times New Roman" w:eastAsia="Times New Roman"/>
                <w:sz w:val="24"/>
              </w:rPr>
              <w:t>23°</w:t>
            </w:r>
            <w:r>
              <w:rPr>
                <w:spacing w:val="-2"/>
                <w:sz w:val="24"/>
              </w:rPr>
              <w:t>，矿体分布连续， </w:t>
            </w:r>
            <w:r>
              <w:rPr>
                <w:spacing w:val="-9"/>
                <w:sz w:val="24"/>
              </w:rPr>
              <w:t>厚度较稳定。矿体出露长约</w:t>
            </w:r>
            <w:r>
              <w:rPr>
                <w:rFonts w:ascii="Times New Roman" w:hAnsi="Times New Roman" w:eastAsia="Times New Roman"/>
                <w:sz w:val="24"/>
              </w:rPr>
              <w:t>177m</w:t>
            </w:r>
            <w:r>
              <w:rPr>
                <w:spacing w:val="-16"/>
                <w:sz w:val="24"/>
              </w:rPr>
              <w:t>，出露宽度</w:t>
            </w:r>
            <w:r>
              <w:rPr>
                <w:rFonts w:ascii="Times New Roman" w:hAnsi="Times New Roman" w:eastAsia="Times New Roman"/>
                <w:spacing w:val="-5"/>
                <w:sz w:val="24"/>
              </w:rPr>
              <w:t>1</w:t>
            </w:r>
            <w:r>
              <w:rPr>
                <w:rFonts w:ascii="Times New Roman" w:hAnsi="Times New Roman" w:eastAsia="Times New Roman"/>
                <w:spacing w:val="-3"/>
                <w:sz w:val="24"/>
              </w:rPr>
              <w:t>1</w:t>
            </w:r>
            <w:r>
              <w:rPr>
                <w:rFonts w:ascii="Times New Roman" w:hAnsi="Times New Roman" w:eastAsia="Times New Roman"/>
                <w:sz w:val="24"/>
              </w:rPr>
              <w:t>0</w:t>
            </w:r>
            <w:r>
              <w:rPr>
                <w:rFonts w:ascii="Times New Roman" w:hAnsi="Times New Roman" w:eastAsia="Times New Roman"/>
                <w:spacing w:val="-2"/>
                <w:sz w:val="24"/>
              </w:rPr>
              <w:t>m</w:t>
            </w:r>
            <w:r>
              <w:rPr>
                <w:spacing w:val="-16"/>
                <w:sz w:val="24"/>
              </w:rPr>
              <w:t>，出露标高</w:t>
            </w:r>
            <w:r>
              <w:rPr>
                <w:rFonts w:ascii="Times New Roman" w:hAnsi="Times New Roman" w:eastAsia="Times New Roman"/>
                <w:sz w:val="24"/>
              </w:rPr>
              <w:t>294</w:t>
            </w:r>
            <w:r>
              <w:rPr>
                <w:rFonts w:ascii="Times New Roman" w:hAnsi="Times New Roman" w:eastAsia="Times New Roman"/>
                <w:spacing w:val="-1"/>
                <w:sz w:val="24"/>
              </w:rPr>
              <w:t>-</w:t>
            </w:r>
            <w:r>
              <w:rPr>
                <w:rFonts w:ascii="Times New Roman" w:hAnsi="Times New Roman" w:eastAsia="Times New Roman"/>
                <w:sz w:val="24"/>
              </w:rPr>
              <w:t>325m</w:t>
            </w:r>
            <w:r>
              <w:rPr>
                <w:spacing w:val="-16"/>
                <w:sz w:val="24"/>
              </w:rPr>
              <w:t>，赋存标高</w:t>
            </w:r>
            <w:r>
              <w:rPr>
                <w:rFonts w:ascii="Times New Roman" w:hAnsi="Times New Roman" w:eastAsia="Times New Roman"/>
                <w:spacing w:val="-2"/>
                <w:sz w:val="24"/>
              </w:rPr>
              <w:t>294</w:t>
            </w:r>
            <w:r>
              <w:rPr>
                <w:rFonts w:ascii="Times New Roman" w:hAnsi="Times New Roman" w:eastAsia="Times New Roman"/>
                <w:spacing w:val="-3"/>
                <w:sz w:val="24"/>
              </w:rPr>
              <w:t>-</w:t>
            </w:r>
            <w:r>
              <w:rPr>
                <w:rFonts w:ascii="Times New Roman" w:hAnsi="Times New Roman" w:eastAsia="Times New Roman"/>
                <w:spacing w:val="-2"/>
                <w:sz w:val="24"/>
              </w:rPr>
              <w:t>325m</w:t>
            </w:r>
            <w:r>
              <w:rPr>
                <w:spacing w:val="-2"/>
                <w:sz w:val="24"/>
              </w:rPr>
              <w:t>，</w:t>
            </w:r>
          </w:p>
          <w:p>
            <w:pPr>
              <w:pStyle w:val="TableParagraph"/>
              <w:spacing w:before="3"/>
              <w:ind w:left="106"/>
              <w:rPr>
                <w:sz w:val="24"/>
              </w:rPr>
            </w:pPr>
            <w:r>
              <w:rPr>
                <w:spacing w:val="-10"/>
                <w:sz w:val="24"/>
              </w:rPr>
              <w:t>矿体厚度 </w:t>
            </w:r>
            <w:r>
              <w:rPr>
                <w:rFonts w:ascii="Times New Roman" w:eastAsia="Times New Roman"/>
                <w:sz w:val="24"/>
              </w:rPr>
              <w:t>0-31m</w:t>
            </w:r>
            <w:r>
              <w:rPr>
                <w:sz w:val="24"/>
              </w:rPr>
              <w:t>。矿体表面覆盖的腐殖土可加入矿石中进行利用；矿体底板为第三系紫红</w:t>
            </w:r>
          </w:p>
        </w:tc>
      </w:tr>
    </w:tbl>
    <w:p>
      <w:pPr>
        <w:rPr>
          <w:sz w:val="2"/>
          <w:szCs w:val="2"/>
        </w:rPr>
      </w:pPr>
      <w:r>
        <w:rPr/>
        <w:pict>
          <v:shape style="position:absolute;margin-left:131.380005pt;margin-top:501pt;width:338.95pt;height:31.1pt;mso-position-horizontal-relative:page;mso-position-vertical-relative:page;z-index:25166131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1"/>
                    <w:gridCol w:w="3068"/>
                    <w:gridCol w:w="2486"/>
                  </w:tblGrid>
                  <w:tr>
                    <w:trPr>
                      <w:trHeight w:val="254" w:hRule="atLeast"/>
                    </w:trPr>
                    <w:tc>
                      <w:tcPr>
                        <w:tcW w:w="1181" w:type="dxa"/>
                        <w:tcBorders>
                          <w:left w:val="nil"/>
                          <w:bottom w:val="single" w:sz="6" w:space="0" w:color="000000"/>
                          <w:right w:val="single" w:sz="6" w:space="0" w:color="000000"/>
                        </w:tcBorders>
                      </w:tcPr>
                      <w:p>
                        <w:pPr>
                          <w:pStyle w:val="TableParagraph"/>
                          <w:spacing w:line="233" w:lineRule="exact" w:before="1"/>
                          <w:ind w:left="320" w:right="286"/>
                          <w:jc w:val="center"/>
                          <w:rPr>
                            <w:b/>
                            <w:sz w:val="21"/>
                          </w:rPr>
                        </w:pPr>
                        <w:r>
                          <w:rPr>
                            <w:b/>
                            <w:sz w:val="21"/>
                          </w:rPr>
                          <w:t>序 号</w:t>
                        </w:r>
                      </w:p>
                    </w:tc>
                    <w:tc>
                      <w:tcPr>
                        <w:tcW w:w="3068" w:type="dxa"/>
                        <w:tcBorders>
                          <w:left w:val="single" w:sz="6" w:space="0" w:color="000000"/>
                          <w:bottom w:val="single" w:sz="6" w:space="0" w:color="000000"/>
                          <w:right w:val="single" w:sz="6" w:space="0" w:color="000000"/>
                        </w:tcBorders>
                      </w:tcPr>
                      <w:p>
                        <w:pPr>
                          <w:pStyle w:val="TableParagraph"/>
                          <w:spacing w:line="233" w:lineRule="exact" w:before="1"/>
                          <w:ind w:left="1310" w:right="1280"/>
                          <w:jc w:val="center"/>
                          <w:rPr>
                            <w:b/>
                            <w:sz w:val="21"/>
                          </w:rPr>
                        </w:pPr>
                        <w:r>
                          <w:rPr>
                            <w:b/>
                            <w:sz w:val="21"/>
                          </w:rPr>
                          <w:t>名称</w:t>
                        </w:r>
                      </w:p>
                    </w:tc>
                    <w:tc>
                      <w:tcPr>
                        <w:tcW w:w="2486" w:type="dxa"/>
                        <w:tcBorders>
                          <w:left w:val="single" w:sz="6" w:space="0" w:color="000000"/>
                          <w:bottom w:val="single" w:sz="6" w:space="0" w:color="000000"/>
                          <w:right w:val="nil"/>
                        </w:tcBorders>
                      </w:tcPr>
                      <w:p>
                        <w:pPr>
                          <w:pStyle w:val="TableParagraph"/>
                          <w:spacing w:line="233" w:lineRule="exact" w:before="1"/>
                          <w:ind w:left="965" w:right="945"/>
                          <w:jc w:val="center"/>
                          <w:rPr>
                            <w:b/>
                            <w:sz w:val="21"/>
                          </w:rPr>
                        </w:pPr>
                        <w:r>
                          <w:rPr>
                            <w:b/>
                            <w:sz w:val="21"/>
                          </w:rPr>
                          <w:t>产 量</w:t>
                        </w:r>
                      </w:p>
                    </w:tc>
                  </w:tr>
                  <w:tr>
                    <w:trPr>
                      <w:trHeight w:val="293" w:hRule="atLeast"/>
                    </w:trPr>
                    <w:tc>
                      <w:tcPr>
                        <w:tcW w:w="1181" w:type="dxa"/>
                        <w:tcBorders>
                          <w:top w:val="single" w:sz="6" w:space="0" w:color="000000"/>
                          <w:left w:val="nil"/>
                          <w:right w:val="single" w:sz="6" w:space="0" w:color="000000"/>
                        </w:tcBorders>
                      </w:tcPr>
                      <w:p>
                        <w:pPr>
                          <w:pStyle w:val="TableParagraph"/>
                          <w:spacing w:before="27"/>
                          <w:ind w:left="35"/>
                          <w:jc w:val="center"/>
                          <w:rPr>
                            <w:rFonts w:ascii="Times New Roman"/>
                            <w:sz w:val="21"/>
                          </w:rPr>
                        </w:pPr>
                        <w:r>
                          <w:rPr>
                            <w:rFonts w:ascii="Times New Roman"/>
                            <w:w w:val="99"/>
                            <w:sz w:val="21"/>
                          </w:rPr>
                          <w:t>1</w:t>
                        </w:r>
                      </w:p>
                    </w:tc>
                    <w:tc>
                      <w:tcPr>
                        <w:tcW w:w="3068" w:type="dxa"/>
                        <w:tcBorders>
                          <w:top w:val="single" w:sz="6" w:space="0" w:color="000000"/>
                          <w:left w:val="single" w:sz="6" w:space="0" w:color="000000"/>
                          <w:right w:val="single" w:sz="6" w:space="0" w:color="000000"/>
                        </w:tcBorders>
                      </w:tcPr>
                      <w:p>
                        <w:pPr>
                          <w:pStyle w:val="TableParagraph"/>
                          <w:spacing w:line="263" w:lineRule="exact" w:before="10"/>
                          <w:ind w:left="1308" w:right="1280"/>
                          <w:jc w:val="center"/>
                          <w:rPr>
                            <w:sz w:val="21"/>
                          </w:rPr>
                        </w:pPr>
                        <w:r>
                          <w:rPr>
                            <w:sz w:val="21"/>
                          </w:rPr>
                          <w:t>页岩</w:t>
                        </w:r>
                      </w:p>
                    </w:tc>
                    <w:tc>
                      <w:tcPr>
                        <w:tcW w:w="2486" w:type="dxa"/>
                        <w:tcBorders>
                          <w:top w:val="single" w:sz="6" w:space="0" w:color="000000"/>
                          <w:left w:val="single" w:sz="6" w:space="0" w:color="000000"/>
                          <w:right w:val="nil"/>
                        </w:tcBorders>
                      </w:tcPr>
                      <w:p>
                        <w:pPr>
                          <w:pStyle w:val="TableParagraph"/>
                          <w:spacing w:line="263" w:lineRule="exact" w:before="10"/>
                          <w:ind w:left="774"/>
                          <w:rPr>
                            <w:rFonts w:ascii="Times New Roman" w:hAnsi="Times New Roman" w:eastAsia="Times New Roman"/>
                            <w:sz w:val="21"/>
                          </w:rPr>
                        </w:pPr>
                        <w:r>
                          <w:rPr>
                            <w:rFonts w:ascii="Times New Roman" w:hAnsi="Times New Roman" w:eastAsia="Times New Roman"/>
                            <w:sz w:val="21"/>
                          </w:rPr>
                          <w:t>1.4 </w:t>
                        </w:r>
                        <w:r>
                          <w:rPr>
                            <w:sz w:val="21"/>
                          </w:rPr>
                          <w:t>万 </w:t>
                        </w:r>
                        <w:r>
                          <w:rPr>
                            <w:rFonts w:ascii="Times New Roman" w:hAnsi="Times New Roman" w:eastAsia="Times New Roman"/>
                            <w:sz w:val="21"/>
                          </w:rPr>
                          <w:t>m³/a</w:t>
                        </w:r>
                      </w:p>
                    </w:tc>
                  </w:tr>
                </w:tbl>
                <w:p>
                  <w:pPr>
                    <w:pStyle w:val="BodyText"/>
                  </w:pPr>
                </w:p>
              </w:txbxContent>
            </v:textbox>
            <w10:wrap type="none"/>
          </v:shape>
        </w:pict>
      </w:r>
      <w:r>
        <w:rPr/>
        <w:pict>
          <v:shape style="position:absolute;margin-left:105.379997pt;margin-top:598.150024pt;width:390.95pt;height:35.450pt;mso-position-horizontal-relative:page;mso-position-vertical-relative:page;z-index:25166233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
                    <w:gridCol w:w="2568"/>
                    <w:gridCol w:w="2738"/>
                    <w:gridCol w:w="1619"/>
                  </w:tblGrid>
                  <w:tr>
                    <w:trPr>
                      <w:trHeight w:val="310" w:hRule="atLeast"/>
                    </w:trPr>
                    <w:tc>
                      <w:tcPr>
                        <w:tcW w:w="850" w:type="dxa"/>
                        <w:tcBorders>
                          <w:left w:val="nil"/>
                          <w:bottom w:val="single" w:sz="6" w:space="0" w:color="000000"/>
                          <w:right w:val="single" w:sz="6" w:space="0" w:color="000000"/>
                        </w:tcBorders>
                      </w:tcPr>
                      <w:p>
                        <w:pPr>
                          <w:pStyle w:val="TableParagraph"/>
                          <w:spacing w:before="19"/>
                          <w:ind w:left="155" w:right="120"/>
                          <w:jc w:val="center"/>
                          <w:rPr>
                            <w:b/>
                            <w:sz w:val="21"/>
                          </w:rPr>
                        </w:pPr>
                        <w:r>
                          <w:rPr>
                            <w:b/>
                            <w:sz w:val="21"/>
                          </w:rPr>
                          <w:t>序 号</w:t>
                        </w:r>
                      </w:p>
                    </w:tc>
                    <w:tc>
                      <w:tcPr>
                        <w:tcW w:w="2568" w:type="dxa"/>
                        <w:tcBorders>
                          <w:left w:val="single" w:sz="6" w:space="0" w:color="000000"/>
                          <w:bottom w:val="single" w:sz="6" w:space="0" w:color="000000"/>
                          <w:right w:val="single" w:sz="6" w:space="0" w:color="000000"/>
                        </w:tcBorders>
                      </w:tcPr>
                      <w:p>
                        <w:pPr>
                          <w:pStyle w:val="TableParagraph"/>
                          <w:spacing w:before="19"/>
                          <w:ind w:left="849" w:right="820"/>
                          <w:jc w:val="center"/>
                          <w:rPr>
                            <w:b/>
                            <w:sz w:val="21"/>
                          </w:rPr>
                        </w:pPr>
                        <w:r>
                          <w:rPr>
                            <w:b/>
                            <w:sz w:val="21"/>
                          </w:rPr>
                          <w:t>设备名称</w:t>
                        </w:r>
                      </w:p>
                    </w:tc>
                    <w:tc>
                      <w:tcPr>
                        <w:tcW w:w="2738" w:type="dxa"/>
                        <w:tcBorders>
                          <w:left w:val="single" w:sz="6" w:space="0" w:color="000000"/>
                          <w:bottom w:val="single" w:sz="6" w:space="0" w:color="000000"/>
                          <w:right w:val="single" w:sz="6" w:space="0" w:color="000000"/>
                        </w:tcBorders>
                      </w:tcPr>
                      <w:p>
                        <w:pPr>
                          <w:pStyle w:val="TableParagraph"/>
                          <w:spacing w:before="19"/>
                          <w:ind w:left="935" w:right="903"/>
                          <w:jc w:val="center"/>
                          <w:rPr>
                            <w:b/>
                            <w:sz w:val="21"/>
                          </w:rPr>
                        </w:pPr>
                        <w:r>
                          <w:rPr>
                            <w:b/>
                            <w:sz w:val="21"/>
                          </w:rPr>
                          <w:t>规格型号</w:t>
                        </w:r>
                      </w:p>
                    </w:tc>
                    <w:tc>
                      <w:tcPr>
                        <w:tcW w:w="1619" w:type="dxa"/>
                        <w:tcBorders>
                          <w:left w:val="single" w:sz="6" w:space="0" w:color="000000"/>
                          <w:bottom w:val="single" w:sz="6" w:space="0" w:color="000000"/>
                          <w:right w:val="nil"/>
                        </w:tcBorders>
                      </w:tcPr>
                      <w:p>
                        <w:pPr>
                          <w:pStyle w:val="TableParagraph"/>
                          <w:spacing w:before="19"/>
                          <w:ind w:left="531" w:right="512"/>
                          <w:jc w:val="center"/>
                          <w:rPr>
                            <w:b/>
                            <w:sz w:val="21"/>
                          </w:rPr>
                        </w:pPr>
                        <w:r>
                          <w:rPr>
                            <w:b/>
                            <w:sz w:val="21"/>
                          </w:rPr>
                          <w:t>数 量</w:t>
                        </w:r>
                      </w:p>
                    </w:tc>
                  </w:tr>
                  <w:tr>
                    <w:trPr>
                      <w:trHeight w:val="324" w:hRule="atLeast"/>
                    </w:trPr>
                    <w:tc>
                      <w:tcPr>
                        <w:tcW w:w="850" w:type="dxa"/>
                        <w:tcBorders>
                          <w:top w:val="single" w:sz="6" w:space="0" w:color="000000"/>
                          <w:left w:val="nil"/>
                          <w:right w:val="single" w:sz="6" w:space="0" w:color="000000"/>
                        </w:tcBorders>
                      </w:tcPr>
                      <w:p>
                        <w:pPr>
                          <w:pStyle w:val="TableParagraph"/>
                          <w:spacing w:before="41"/>
                          <w:ind w:left="34"/>
                          <w:jc w:val="center"/>
                          <w:rPr>
                            <w:rFonts w:ascii="Times New Roman"/>
                            <w:sz w:val="21"/>
                          </w:rPr>
                        </w:pPr>
                        <w:r>
                          <w:rPr>
                            <w:rFonts w:ascii="Times New Roman"/>
                            <w:w w:val="99"/>
                            <w:sz w:val="21"/>
                          </w:rPr>
                          <w:t>1</w:t>
                        </w:r>
                      </w:p>
                    </w:tc>
                    <w:tc>
                      <w:tcPr>
                        <w:tcW w:w="2568" w:type="dxa"/>
                        <w:tcBorders>
                          <w:top w:val="single" w:sz="6" w:space="0" w:color="000000"/>
                          <w:left w:val="single" w:sz="6" w:space="0" w:color="000000"/>
                          <w:right w:val="single" w:sz="6" w:space="0" w:color="000000"/>
                        </w:tcBorders>
                      </w:tcPr>
                      <w:p>
                        <w:pPr>
                          <w:pStyle w:val="TableParagraph"/>
                          <w:spacing w:before="27"/>
                          <w:ind w:left="847" w:right="820"/>
                          <w:jc w:val="center"/>
                          <w:rPr>
                            <w:sz w:val="21"/>
                          </w:rPr>
                        </w:pPr>
                        <w:r>
                          <w:rPr>
                            <w:sz w:val="21"/>
                          </w:rPr>
                          <w:t>挖掘机</w:t>
                        </w:r>
                      </w:p>
                    </w:tc>
                    <w:tc>
                      <w:tcPr>
                        <w:tcW w:w="2738" w:type="dxa"/>
                        <w:tcBorders>
                          <w:top w:val="single" w:sz="6" w:space="0" w:color="000000"/>
                          <w:left w:val="single" w:sz="6" w:space="0" w:color="000000"/>
                          <w:right w:val="single" w:sz="6" w:space="0" w:color="000000"/>
                        </w:tcBorders>
                      </w:tcPr>
                      <w:p>
                        <w:pPr>
                          <w:pStyle w:val="TableParagraph"/>
                          <w:spacing w:before="41"/>
                          <w:ind w:left="30"/>
                          <w:jc w:val="center"/>
                          <w:rPr>
                            <w:rFonts w:ascii="Times New Roman"/>
                            <w:sz w:val="21"/>
                          </w:rPr>
                        </w:pPr>
                        <w:r>
                          <w:rPr>
                            <w:rFonts w:ascii="Times New Roman"/>
                            <w:w w:val="99"/>
                            <w:sz w:val="21"/>
                          </w:rPr>
                          <w:t>/</w:t>
                        </w:r>
                      </w:p>
                    </w:tc>
                    <w:tc>
                      <w:tcPr>
                        <w:tcW w:w="1619" w:type="dxa"/>
                        <w:tcBorders>
                          <w:top w:val="single" w:sz="6" w:space="0" w:color="000000"/>
                          <w:left w:val="single" w:sz="6" w:space="0" w:color="000000"/>
                          <w:right w:val="nil"/>
                        </w:tcBorders>
                      </w:tcPr>
                      <w:p>
                        <w:pPr>
                          <w:pStyle w:val="TableParagraph"/>
                          <w:spacing w:before="27"/>
                          <w:ind w:left="531" w:right="512"/>
                          <w:jc w:val="center"/>
                          <w:rPr>
                            <w:sz w:val="21"/>
                          </w:rPr>
                        </w:pPr>
                        <w:r>
                          <w:rPr>
                            <w:rFonts w:ascii="Times New Roman" w:eastAsia="Times New Roman"/>
                            <w:sz w:val="21"/>
                          </w:rPr>
                          <w:t>1 </w:t>
                        </w:r>
                        <w:r>
                          <w:rPr>
                            <w:sz w:val="21"/>
                          </w:rPr>
                          <w:t>台</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BodyText"/>
        <w:spacing w:before="147"/>
        <w:ind w:left="319"/>
      </w:pPr>
      <w:r>
        <w:rPr/>
        <w:pict>
          <v:shape style="position:absolute;margin-left:61.360001pt;margin-top:62.960011pt;width:478.25pt;height:716.65pt;mso-position-horizontal-relative:page;mso-position-vertical-relative:page;z-index:-256988160" coordorigin="1227,1259" coordsize="9565,14333" path="m1227,1252l10792,1252m1227,12722l10792,12722m1227,15580l10792,15580m1232,1247l1232,15575m10787,1247l10787,15575e" filled="false" stroked="true" strokeweight=".48pt" strokecolor="#000000">
            <v:path arrowok="t"/>
            <v:stroke dashstyle="solid"/>
            <w10:wrap type="none"/>
          </v:shape>
        </w:pict>
      </w:r>
      <w:r>
        <w:rPr/>
        <w:t>色泥质粉砂岩。</w:t>
      </w:r>
    </w:p>
    <w:p>
      <w:pPr>
        <w:pStyle w:val="Heading2"/>
        <w:spacing w:before="153"/>
        <w:ind w:left="919"/>
      </w:pPr>
      <w:r>
        <w:rPr>
          <w:rFonts w:ascii="Times New Roman" w:eastAsia="Times New Roman"/>
        </w:rPr>
        <w:t>2</w:t>
      </w:r>
      <w:r>
        <w:rPr/>
        <w:t>、矿石质量</w:t>
      </w:r>
    </w:p>
    <w:p>
      <w:pPr>
        <w:pStyle w:val="ListParagraph"/>
        <w:numPr>
          <w:ilvl w:val="1"/>
          <w:numId w:val="2"/>
        </w:numPr>
        <w:tabs>
          <w:tab w:pos="1401" w:val="left" w:leader="none"/>
        </w:tabs>
        <w:spacing w:line="240" w:lineRule="auto" w:before="151" w:after="0"/>
        <w:ind w:left="1400" w:right="0" w:hanging="602"/>
        <w:jc w:val="left"/>
        <w:rPr>
          <w:sz w:val="24"/>
        </w:rPr>
      </w:pPr>
      <w:r>
        <w:rPr>
          <w:sz w:val="24"/>
        </w:rPr>
        <w:t>矿石矿物组成</w:t>
      </w:r>
    </w:p>
    <w:p>
      <w:pPr>
        <w:pStyle w:val="BodyText"/>
        <w:spacing w:line="360" w:lineRule="auto" w:before="153"/>
        <w:ind w:left="319" w:right="322" w:firstLine="480"/>
      </w:pPr>
      <w:r>
        <w:rPr/>
        <w:t>矿石呈紫红色、淡红色，矿石矿物成分主要有石英、长石、水云母、蒙脱石、钙质结核等。</w:t>
      </w:r>
    </w:p>
    <w:p>
      <w:pPr>
        <w:pStyle w:val="ListParagraph"/>
        <w:numPr>
          <w:ilvl w:val="1"/>
          <w:numId w:val="2"/>
        </w:numPr>
        <w:tabs>
          <w:tab w:pos="1401" w:val="left" w:leader="none"/>
        </w:tabs>
        <w:spacing w:line="304" w:lineRule="exact" w:before="0" w:after="0"/>
        <w:ind w:left="1400" w:right="0" w:hanging="602"/>
        <w:jc w:val="left"/>
        <w:rPr>
          <w:sz w:val="24"/>
        </w:rPr>
      </w:pPr>
      <w:r>
        <w:rPr>
          <w:sz w:val="24"/>
        </w:rPr>
        <w:t>矿石化学成分</w:t>
      </w:r>
    </w:p>
    <w:p>
      <w:pPr>
        <w:pStyle w:val="BodyText"/>
        <w:spacing w:line="357" w:lineRule="auto" w:before="153"/>
        <w:ind w:left="319" w:right="339" w:firstLine="480"/>
        <w:jc w:val="both"/>
      </w:pPr>
      <w:r>
        <w:rPr>
          <w:spacing w:val="-5"/>
        </w:rPr>
        <w:t>本次工作在核实区内取样 </w:t>
      </w:r>
      <w:r>
        <w:rPr>
          <w:rFonts w:ascii="Times New Roman" w:eastAsia="Times New Roman"/>
        </w:rPr>
        <w:t>1 </w:t>
      </w:r>
      <w:r>
        <w:rPr>
          <w:spacing w:val="-6"/>
        </w:rPr>
        <w:t>件，送交具有甲级分析测试资质的陕西地矿安康秦汉实验</w:t>
      </w:r>
      <w:r>
        <w:rPr>
          <w:spacing w:val="-5"/>
        </w:rPr>
        <w:t>检测有限公司进行基本化学分析，可知矿石化学成分为：</w:t>
      </w:r>
      <w:r>
        <w:rPr>
          <w:rFonts w:ascii="Times New Roman" w:eastAsia="Times New Roman"/>
          <w:spacing w:val="-11"/>
        </w:rPr>
        <w:t>SiO2 </w:t>
      </w:r>
      <w:r>
        <w:rPr>
          <w:rFonts w:ascii="Times New Roman" w:eastAsia="Times New Roman"/>
          <w:spacing w:val="-5"/>
        </w:rPr>
        <w:t>46.09%</w:t>
      </w:r>
      <w:r>
        <w:rPr>
          <w:spacing w:val="-5"/>
        </w:rPr>
        <w:t>，</w:t>
      </w:r>
      <w:r>
        <w:rPr>
          <w:rFonts w:ascii="Times New Roman" w:eastAsia="Times New Roman"/>
          <w:spacing w:val="-5"/>
        </w:rPr>
        <w:t>Al2O3 </w:t>
      </w:r>
      <w:r>
        <w:rPr>
          <w:rFonts w:ascii="Times New Roman" w:eastAsia="Times New Roman"/>
          <w:spacing w:val="-6"/>
        </w:rPr>
        <w:t>8.86%</w:t>
      </w:r>
      <w:r>
        <w:rPr>
          <w:spacing w:val="-6"/>
        </w:rPr>
        <w:t>，</w:t>
      </w:r>
      <w:r>
        <w:rPr>
          <w:rFonts w:ascii="Times New Roman" w:eastAsia="Times New Roman"/>
          <w:spacing w:val="-6"/>
        </w:rPr>
        <w:t>CaO </w:t>
      </w:r>
      <w:r>
        <w:rPr>
          <w:rFonts w:ascii="Times New Roman" w:eastAsia="Times New Roman"/>
        </w:rPr>
        <w:t>11.32%</w:t>
      </w:r>
      <w:r>
        <w:rPr/>
        <w:t>，</w:t>
      </w:r>
      <w:r>
        <w:rPr>
          <w:rFonts w:ascii="Times New Roman" w:eastAsia="Times New Roman"/>
        </w:rPr>
        <w:t>Fe2O32.97%</w:t>
      </w:r>
      <w:r>
        <w:rPr/>
        <w:t>，</w:t>
      </w:r>
      <w:r>
        <w:rPr>
          <w:rFonts w:ascii="Times New Roman" w:eastAsia="Times New Roman"/>
        </w:rPr>
        <w:t>MgO 2.73%</w:t>
      </w:r>
      <w:r>
        <w:rPr/>
        <w:t>，</w:t>
      </w:r>
      <w:r>
        <w:rPr>
          <w:rFonts w:ascii="Times New Roman" w:eastAsia="Times New Roman"/>
        </w:rPr>
        <w:t>SO3 0.11%</w:t>
      </w:r>
      <w:r>
        <w:rPr>
          <w:spacing w:val="-12"/>
        </w:rPr>
        <w:t>，烧失量 </w:t>
      </w:r>
      <w:r>
        <w:rPr>
          <w:rFonts w:ascii="Times New Roman" w:eastAsia="Times New Roman"/>
        </w:rPr>
        <w:t>12.58%</w:t>
      </w:r>
      <w:r>
        <w:rPr/>
        <w:t>。</w:t>
      </w:r>
    </w:p>
    <w:p>
      <w:pPr>
        <w:pStyle w:val="ListParagraph"/>
        <w:numPr>
          <w:ilvl w:val="1"/>
          <w:numId w:val="2"/>
        </w:numPr>
        <w:tabs>
          <w:tab w:pos="1401" w:val="left" w:leader="none"/>
        </w:tabs>
        <w:spacing w:line="240" w:lineRule="auto" w:before="6" w:after="0"/>
        <w:ind w:left="1400" w:right="0" w:hanging="602"/>
        <w:jc w:val="left"/>
        <w:rPr>
          <w:sz w:val="24"/>
        </w:rPr>
      </w:pPr>
      <w:r>
        <w:rPr>
          <w:sz w:val="24"/>
        </w:rPr>
        <w:t>矿石类型</w:t>
      </w:r>
    </w:p>
    <w:p>
      <w:pPr>
        <w:pStyle w:val="BodyText"/>
        <w:spacing w:line="357" w:lineRule="auto" w:before="153"/>
        <w:ind w:left="799" w:right="5365"/>
      </w:pPr>
      <w:r>
        <w:rPr/>
        <w:t>矿石自然类型：紫红色泥质粉砂岩。矿石工业类型：砖瓦用页岩矿。</w:t>
      </w:r>
    </w:p>
    <w:p>
      <w:pPr>
        <w:pStyle w:val="ListParagraph"/>
        <w:numPr>
          <w:ilvl w:val="1"/>
          <w:numId w:val="2"/>
        </w:numPr>
        <w:tabs>
          <w:tab w:pos="1401" w:val="left" w:leader="none"/>
        </w:tabs>
        <w:spacing w:line="240" w:lineRule="auto" w:before="3" w:after="0"/>
        <w:ind w:left="1400" w:right="0" w:hanging="602"/>
        <w:jc w:val="left"/>
        <w:rPr>
          <w:sz w:val="24"/>
        </w:rPr>
      </w:pPr>
      <w:r>
        <w:rPr>
          <w:sz w:val="24"/>
        </w:rPr>
        <w:t>矿石物理技术性能</w:t>
      </w:r>
    </w:p>
    <w:p>
      <w:pPr>
        <w:pStyle w:val="BodyText"/>
        <w:spacing w:line="357" w:lineRule="auto" w:before="153"/>
        <w:ind w:left="319" w:right="335" w:firstLine="480"/>
        <w:jc w:val="both"/>
      </w:pPr>
      <w:r>
        <w:rPr/>
        <w:t>核实区矿石呈现团块状，粉砂泥质结构，层状构造，稍硬。矿物颗粒组成平均为</w:t>
      </w:r>
      <w:r>
        <w:rPr>
          <w:rFonts w:ascii="Times New Roman" w:hAnsi="Times New Roman" w:eastAsia="Times New Roman"/>
        </w:rPr>
        <w:t>0.5-0.25mm </w:t>
      </w:r>
      <w:r>
        <w:rPr/>
        <w:t>含量占 </w:t>
      </w:r>
      <w:r>
        <w:rPr>
          <w:rFonts w:ascii="Times New Roman" w:hAnsi="Times New Roman" w:eastAsia="Times New Roman"/>
        </w:rPr>
        <w:t>0.5%</w:t>
      </w:r>
      <w:r>
        <w:rPr/>
        <w:t>，</w:t>
      </w:r>
      <w:r>
        <w:rPr>
          <w:rFonts w:ascii="Times New Roman" w:hAnsi="Times New Roman" w:eastAsia="Times New Roman"/>
        </w:rPr>
        <w:t>0.075—0.005mm </w:t>
      </w:r>
      <w:r>
        <w:rPr/>
        <w:t>含量占 </w:t>
      </w:r>
      <w:r>
        <w:rPr>
          <w:rFonts w:ascii="Times New Roman" w:hAnsi="Times New Roman" w:eastAsia="Times New Roman"/>
        </w:rPr>
        <w:t>86.1%</w:t>
      </w:r>
      <w:r>
        <w:rPr/>
        <w:t>，</w:t>
      </w:r>
      <w:r>
        <w:rPr>
          <w:rFonts w:ascii="Times New Roman" w:hAnsi="Times New Roman" w:eastAsia="Times New Roman"/>
        </w:rPr>
        <w:t>&lt;0.005mm </w:t>
      </w:r>
      <w:r>
        <w:rPr/>
        <w:t>含量占 </w:t>
      </w:r>
      <w:r>
        <w:rPr>
          <w:rFonts w:ascii="Times New Roman" w:hAnsi="Times New Roman" w:eastAsia="Times New Roman"/>
        </w:rPr>
        <w:t>13.4%</w:t>
      </w:r>
      <w:r>
        <w:rPr/>
        <w:t>；平均塑性指数：</w:t>
      </w:r>
      <w:r>
        <w:rPr>
          <w:rFonts w:ascii="Times New Roman" w:hAnsi="Times New Roman" w:eastAsia="Times New Roman"/>
        </w:rPr>
        <w:t>10.02</w:t>
      </w:r>
      <w:r>
        <w:rPr/>
        <w:t>，为中等可塑性粘土。矿石经破碎后是良好的砖瓦用工业原料。</w:t>
      </w:r>
    </w:p>
    <w:p>
      <w:pPr>
        <w:pStyle w:val="Heading2"/>
        <w:numPr>
          <w:ilvl w:val="2"/>
          <w:numId w:val="7"/>
        </w:numPr>
        <w:tabs>
          <w:tab w:pos="1340" w:val="left" w:leader="none"/>
        </w:tabs>
        <w:spacing w:line="240" w:lineRule="auto" w:before="6" w:after="0"/>
        <w:ind w:left="1339" w:right="0" w:hanging="541"/>
        <w:jc w:val="both"/>
      </w:pPr>
      <w:r>
        <w:rPr/>
        <w:t>工作制度与劳动定员</w:t>
      </w:r>
    </w:p>
    <w:p>
      <w:pPr>
        <w:pStyle w:val="BodyText"/>
        <w:spacing w:line="360" w:lineRule="auto" w:before="151"/>
        <w:ind w:left="319" w:right="226" w:firstLine="482"/>
        <w:jc w:val="both"/>
      </w:pPr>
      <w:r>
        <w:rPr>
          <w:spacing w:val="-9"/>
        </w:rPr>
        <w:t>项目劳动定员 </w:t>
      </w:r>
      <w:r>
        <w:rPr>
          <w:rFonts w:ascii="Times New Roman" w:eastAsia="Times New Roman"/>
        </w:rPr>
        <w:t>2 </w:t>
      </w:r>
      <w:r>
        <w:rPr>
          <w:spacing w:val="-17"/>
        </w:rPr>
        <w:t>人，年工作 </w:t>
      </w:r>
      <w:r>
        <w:rPr>
          <w:rFonts w:ascii="Times New Roman" w:eastAsia="Times New Roman"/>
        </w:rPr>
        <w:t>210 </w:t>
      </w:r>
      <w:r>
        <w:rPr>
          <w:spacing w:val="-20"/>
        </w:rPr>
        <w:t>天，每天 </w:t>
      </w:r>
      <w:r>
        <w:rPr>
          <w:rFonts w:ascii="Times New Roman" w:eastAsia="Times New Roman"/>
        </w:rPr>
        <w:t>1 </w:t>
      </w:r>
      <w:r>
        <w:rPr>
          <w:spacing w:val="-20"/>
        </w:rPr>
        <w:t>班，工作 </w:t>
      </w:r>
      <w:r>
        <w:rPr>
          <w:rFonts w:ascii="Times New Roman" w:eastAsia="Times New Roman"/>
        </w:rPr>
        <w:t>5 </w:t>
      </w:r>
      <w:r>
        <w:rPr>
          <w:spacing w:val="-7"/>
        </w:rPr>
        <w:t>小时。工作人员均为当地住户， </w:t>
      </w:r>
      <w:r>
        <w:rPr/>
        <w:t>不在项目区食宿。</w:t>
      </w:r>
    </w:p>
    <w:p>
      <w:pPr>
        <w:pStyle w:val="Heading2"/>
        <w:numPr>
          <w:ilvl w:val="2"/>
          <w:numId w:val="7"/>
        </w:numPr>
        <w:tabs>
          <w:tab w:pos="1340" w:val="left" w:leader="none"/>
        </w:tabs>
        <w:spacing w:line="307" w:lineRule="exact" w:before="0" w:after="0"/>
        <w:ind w:left="1339" w:right="0" w:hanging="541"/>
        <w:jc w:val="both"/>
      </w:pPr>
      <w:r>
        <w:rPr/>
        <w:t>项目总投资</w:t>
      </w:r>
    </w:p>
    <w:p>
      <w:pPr>
        <w:pStyle w:val="BodyText"/>
        <w:spacing w:before="143"/>
        <w:ind w:left="801"/>
        <w:jc w:val="both"/>
      </w:pPr>
      <w:r>
        <w:rPr/>
        <w:t>项目建设总投资为 </w:t>
      </w:r>
      <w:r>
        <w:rPr>
          <w:rFonts w:ascii="Times New Roman" w:eastAsia="Times New Roman"/>
        </w:rPr>
        <w:t>140 </w:t>
      </w:r>
      <w:r>
        <w:rPr/>
        <w:t>万元，资金来源全部为企业自筹。</w:t>
      </w:r>
    </w:p>
    <w:p>
      <w:pPr>
        <w:pStyle w:val="Heading2"/>
        <w:numPr>
          <w:ilvl w:val="2"/>
          <w:numId w:val="7"/>
        </w:numPr>
        <w:tabs>
          <w:tab w:pos="1340" w:val="left" w:leader="none"/>
        </w:tabs>
        <w:spacing w:line="240" w:lineRule="auto" w:before="151" w:after="0"/>
        <w:ind w:left="1339" w:right="0" w:hanging="541"/>
        <w:jc w:val="both"/>
      </w:pPr>
      <w:r>
        <w:rPr/>
        <w:t>厂区平面布置分析</w:t>
      </w:r>
    </w:p>
    <w:p>
      <w:pPr>
        <w:pStyle w:val="BodyText"/>
        <w:spacing w:line="350" w:lineRule="auto" w:before="144"/>
        <w:ind w:left="319" w:right="346" w:firstLine="482"/>
        <w:jc w:val="both"/>
      </w:pPr>
      <w:r>
        <w:rPr>
          <w:spacing w:val="-3"/>
        </w:rPr>
        <w:t>项目矿山成不规则多边形，位于安康市汉滨区鑫平新型建材有限公司砖厂西侧，项目开采的页岩矿直接用挖机运输至东侧砖厂的原料堆棚进行贮存，项目周边均为荒山地。砖</w:t>
      </w:r>
      <w:r>
        <w:rPr/>
        <w:t>厂道路与村级道路相通，交通便利。</w:t>
      </w:r>
    </w:p>
    <w:p>
      <w:pPr>
        <w:pStyle w:val="BodyText"/>
        <w:spacing w:before="98"/>
        <w:ind w:left="319"/>
        <w:rPr>
          <w:rFonts w:ascii="黑体" w:eastAsia="黑体" w:hint="eastAsia"/>
        </w:rPr>
      </w:pPr>
      <w:bookmarkStart w:name="1.2与本项目有关的原有污染情况及主要环境问题" w:id="7"/>
      <w:bookmarkEnd w:id="7"/>
      <w:r>
        <w:rPr/>
      </w:r>
      <w:bookmarkStart w:name="_bookmark2" w:id="8"/>
      <w:bookmarkEnd w:id="8"/>
      <w:r>
        <w:rPr/>
      </w:r>
      <w:r>
        <w:rPr>
          <w:rFonts w:ascii="Times New Roman" w:eastAsia="Times New Roman"/>
        </w:rPr>
        <w:t>1.2 </w:t>
      </w:r>
      <w:r>
        <w:rPr>
          <w:rFonts w:ascii="黑体" w:eastAsia="黑体" w:hint="eastAsia"/>
        </w:rPr>
        <w:t>与本项目有关的原有污染情况及主要环境问题</w:t>
      </w:r>
    </w:p>
    <w:p>
      <w:pPr>
        <w:pStyle w:val="BodyText"/>
        <w:spacing w:line="360" w:lineRule="auto" w:before="156"/>
        <w:ind w:left="319" w:right="342" w:firstLine="480"/>
        <w:jc w:val="both"/>
      </w:pPr>
      <w:r>
        <w:rPr>
          <w:spacing w:val="-3"/>
        </w:rPr>
        <w:t>项目位于安康市汉滨区恒口镇金坑村，项目所在区域地质条件较为简单，山头及山坡</w:t>
      </w:r>
      <w:r>
        <w:rPr>
          <w:spacing w:val="-5"/>
        </w:rPr>
        <w:t>上无重要森林、果树，仅是地表部分有杂草，无珍稀野生动植物，生态环境不敏感。建设</w:t>
      </w:r>
      <w:r>
        <w:rPr>
          <w:spacing w:val="-10"/>
        </w:rPr>
        <w:t>单位已开采 </w:t>
      </w:r>
      <w:r>
        <w:rPr>
          <w:rFonts w:ascii="Times New Roman" w:hAnsi="Times New Roman" w:eastAsia="Times New Roman"/>
        </w:rPr>
        <w:t>3 </w:t>
      </w:r>
      <w:r>
        <w:rPr/>
        <w:t>年，前期开采并未取得采矿许可证，</w:t>
      </w:r>
      <w:r>
        <w:rPr>
          <w:rFonts w:ascii="Times New Roman" w:hAnsi="Times New Roman" w:eastAsia="Times New Roman"/>
        </w:rPr>
        <w:t>2019 </w:t>
      </w:r>
      <w:r>
        <w:rPr>
          <w:spacing w:val="-27"/>
        </w:rPr>
        <w:t>年 </w:t>
      </w:r>
      <w:r>
        <w:rPr>
          <w:rFonts w:ascii="Times New Roman" w:hAnsi="Times New Roman" w:eastAsia="Times New Roman"/>
        </w:rPr>
        <w:t>5 </w:t>
      </w:r>
      <w:r>
        <w:rPr>
          <w:spacing w:val="-28"/>
        </w:rPr>
        <w:t>月 </w:t>
      </w:r>
      <w:r>
        <w:rPr>
          <w:rFonts w:ascii="Times New Roman" w:hAnsi="Times New Roman" w:eastAsia="Times New Roman"/>
        </w:rPr>
        <w:t>30 </w:t>
      </w:r>
      <w:r>
        <w:rPr/>
        <w:t>日安康市汉滨区鑫平新型建材有限公司取得了</w:t>
      </w:r>
      <w:r>
        <w:rPr>
          <w:rFonts w:ascii="Times New Roman" w:hAnsi="Times New Roman" w:eastAsia="Times New Roman"/>
        </w:rPr>
        <w:t>“</w:t>
      </w:r>
      <w:r>
        <w:rPr/>
        <w:t>安康市恒口示范区金坑村沟南砖瓦用页岩矿</w:t>
      </w:r>
      <w:r>
        <w:rPr>
          <w:rFonts w:ascii="Times New Roman" w:hAnsi="Times New Roman" w:eastAsia="Times New Roman"/>
        </w:rPr>
        <w:t>”</w:t>
      </w:r>
      <w:r>
        <w:rPr>
          <w:spacing w:val="-2"/>
        </w:rPr>
        <w:t>采矿权，矿山现状处</w:t>
      </w:r>
      <w:r>
        <w:rPr/>
        <w:t>于停产状态，正在办理采矿许可证工作。</w:t>
      </w:r>
    </w:p>
    <w:p>
      <w:pPr>
        <w:spacing w:after="0" w:line="360" w:lineRule="auto"/>
        <w:jc w:val="both"/>
        <w:sectPr>
          <w:pgSz w:w="11910" w:h="16840"/>
          <w:pgMar w:header="0" w:footer="770" w:top="1220" w:bottom="960" w:left="1020" w:right="880"/>
        </w:sectPr>
      </w:pPr>
    </w:p>
    <w:p>
      <w:pPr>
        <w:pStyle w:val="BodyText"/>
        <w:ind w:left="207"/>
        <w:rPr>
          <w:sz w:val="20"/>
        </w:rPr>
      </w:pPr>
      <w:r>
        <w:rPr>
          <w:sz w:val="20"/>
        </w:rPr>
        <w:pict>
          <v:shape style="width:477.75pt;height:274.5pt;mso-position-horizontal-relative:char;mso-position-vertical-relative:line" type="#_x0000_t202" filled="false" stroked="true" strokeweight=".48pt" strokecolor="#000000">
            <w10:anchorlock/>
            <v:textbox inset="0,0,0,0">
              <w:txbxContent>
                <w:p>
                  <w:pPr>
                    <w:pStyle w:val="BodyText"/>
                    <w:spacing w:line="357" w:lineRule="auto" w:before="129"/>
                    <w:ind w:left="102" w:right="-29" w:firstLine="480"/>
                  </w:pPr>
                  <w:r>
                    <w:rPr>
                      <w:spacing w:val="-6"/>
                    </w:rPr>
                    <w:t>目前矿山储量约剩余 </w:t>
                  </w:r>
                  <w:r>
                    <w:rPr>
                      <w:rFonts w:ascii="Times New Roman" w:eastAsia="Times New Roman"/>
                    </w:rPr>
                    <w:t>41.65</w:t>
                  </w:r>
                  <w:r>
                    <w:rPr>
                      <w:rFonts w:ascii="Times New Roman" w:eastAsia="Times New Roman"/>
                      <w:spacing w:val="1"/>
                    </w:rPr>
                    <w:t> </w:t>
                  </w:r>
                  <w:r>
                    <w:rPr>
                      <w:spacing w:val="-9"/>
                    </w:rPr>
                    <w:t>万吨。项目矿山采空区目前尚未进行复垦，造成地表裸露、</w:t>
                  </w:r>
                  <w:r>
                    <w:rPr>
                      <w:spacing w:val="-12"/>
                    </w:rPr>
                    <w:t>矿渣无序堆放现象。建设单位编制了《矿山地质环境保护与土地复垦方案》，后期在开采过程中应加强矿山生态保护，控制开采境界及植被破坏面积，积极落实生态植被恢复治理。</w:t>
                  </w:r>
                </w:p>
              </w:txbxContent>
            </v:textbox>
            <v:stroke dashstyle="solid"/>
          </v:shape>
        </w:pict>
      </w:r>
      <w:r>
        <w:rPr>
          <w:sz w:val="20"/>
        </w:rPr>
      </w:r>
    </w:p>
    <w:p>
      <w:pPr>
        <w:spacing w:after="0"/>
        <w:rPr>
          <w:sz w:val="20"/>
        </w:rPr>
        <w:sectPr>
          <w:pgSz w:w="11910" w:h="16840"/>
          <w:pgMar w:header="0" w:footer="770" w:top="1240" w:bottom="1040" w:left="1020" w:right="880"/>
        </w:sectPr>
      </w:pPr>
    </w:p>
    <w:p>
      <w:pPr>
        <w:pStyle w:val="Heading1"/>
        <w:numPr>
          <w:ilvl w:val="0"/>
          <w:numId w:val="2"/>
        </w:numPr>
        <w:tabs>
          <w:tab w:pos="437" w:val="left" w:leader="none"/>
        </w:tabs>
        <w:spacing w:line="240" w:lineRule="auto" w:before="60" w:after="0"/>
        <w:ind w:left="436" w:right="0" w:hanging="210"/>
        <w:jc w:val="left"/>
      </w:pPr>
      <w:r>
        <w:rPr/>
        <w:pict>
          <v:shape style="position:absolute;margin-left:62.110001pt;margin-top:73.260010pt;width:479.15pt;height:675.15pt;mso-position-horizontal-relative:page;mso-position-vertical-relative:page;z-index:-256986112" coordorigin="1242,1465" coordsize="9583,13503" path="m1242,1876l10825,1876m1242,15374l10825,15374m1247,1871l1247,15369m10820,1871l10820,15369e" filled="false" stroked="true" strokeweight=".48pt" strokecolor="#000000">
            <v:path arrowok="t"/>
            <v:stroke dashstyle="solid"/>
            <w10:wrap type="none"/>
          </v:shape>
        </w:pict>
      </w:r>
      <w:bookmarkStart w:name="2建设项目所在地自然环境简况" w:id="9"/>
      <w:bookmarkEnd w:id="9"/>
      <w:r>
        <w:rPr/>
      </w:r>
      <w:bookmarkStart w:name="_bookmark3" w:id="10"/>
      <w:bookmarkEnd w:id="10"/>
      <w:r>
        <w:rPr/>
      </w:r>
      <w:bookmarkStart w:name="_bookmark3" w:id="11"/>
      <w:bookmarkEnd w:id="11"/>
      <w:r>
        <w:rPr>
          <w:spacing w:val="-3"/>
        </w:rPr>
        <w:t>建设项目所在地自然环境简况</w:t>
      </w:r>
    </w:p>
    <w:p>
      <w:pPr>
        <w:pStyle w:val="BodyText"/>
        <w:spacing w:before="6"/>
        <w:rPr>
          <w:rFonts w:ascii="黑体"/>
          <w:sz w:val="22"/>
        </w:rPr>
      </w:pPr>
    </w:p>
    <w:p>
      <w:pPr>
        <w:pStyle w:val="Heading2"/>
        <w:spacing w:before="1"/>
        <w:ind w:left="816"/>
      </w:pPr>
      <w:bookmarkStart w:name="2.1地形、地貌" w:id="12"/>
      <w:bookmarkEnd w:id="12"/>
      <w:r>
        <w:rPr>
          <w:b w:val="0"/>
        </w:rPr>
      </w:r>
      <w:r>
        <w:rPr>
          <w:rFonts w:ascii="Times New Roman" w:eastAsia="Times New Roman"/>
        </w:rPr>
        <w:t>2.1 </w:t>
      </w:r>
      <w:r>
        <w:rPr/>
        <w:t>地形、地貌</w:t>
      </w:r>
    </w:p>
    <w:p>
      <w:pPr>
        <w:pStyle w:val="BodyText"/>
        <w:spacing w:line="360" w:lineRule="auto" w:before="155"/>
        <w:ind w:left="335" w:right="311" w:firstLine="480"/>
      </w:pPr>
      <w:r>
        <w:rPr>
          <w:spacing w:val="-3"/>
        </w:rPr>
        <w:t>恒口示范区属陕南秦巴山地丘陵沟壑区，汉江、月河穿过区境中部，以月河为界，北属秦岭山地，南沿巴山余脉。南北都有 </w:t>
      </w:r>
      <w:r>
        <w:rPr>
          <w:rFonts w:ascii="Times New Roman" w:eastAsia="Times New Roman"/>
        </w:rPr>
        <w:t>2000</w:t>
      </w:r>
      <w:r>
        <w:rPr>
          <w:rFonts w:ascii="Times New Roman" w:eastAsia="Times New Roman"/>
          <w:spacing w:val="27"/>
        </w:rPr>
        <w:t> </w:t>
      </w:r>
      <w:r>
        <w:rPr/>
        <w:t>米以上的高大山峰，形成南北高、中间低的</w:t>
      </w:r>
    </w:p>
    <w:p>
      <w:pPr>
        <w:pStyle w:val="BodyText"/>
        <w:spacing w:line="304" w:lineRule="exact"/>
        <w:ind w:left="335"/>
      </w:pPr>
      <w:r>
        <w:rPr>
          <w:spacing w:val="-4"/>
        </w:rPr>
        <w:t>地貌特点，垂直高差达 </w:t>
      </w:r>
      <w:r>
        <w:rPr>
          <w:rFonts w:ascii="Times New Roman" w:eastAsia="Times New Roman"/>
        </w:rPr>
        <w:t>1900</w:t>
      </w:r>
      <w:r>
        <w:rPr>
          <w:rFonts w:ascii="Times New Roman" w:eastAsia="Times New Roman"/>
          <w:spacing w:val="24"/>
        </w:rPr>
        <w:t> </w:t>
      </w:r>
      <w:r>
        <w:rPr/>
        <w:t>米，境内地形起伏，群山叠障，沟壑纵横，最高点为叶坪佛</w:t>
      </w:r>
    </w:p>
    <w:p>
      <w:pPr>
        <w:pStyle w:val="BodyText"/>
        <w:spacing w:before="154"/>
        <w:ind w:left="335"/>
      </w:pPr>
      <w:r>
        <w:rPr/>
        <w:t>爷岭，海拔 </w:t>
      </w:r>
      <w:r>
        <w:rPr>
          <w:rFonts w:ascii="Times New Roman" w:eastAsia="Times New Roman"/>
        </w:rPr>
        <w:t>2141 </w:t>
      </w:r>
      <w:r>
        <w:rPr/>
        <w:t>米，最低处 </w:t>
      </w:r>
      <w:r>
        <w:rPr>
          <w:rFonts w:ascii="Times New Roman" w:eastAsia="Times New Roman"/>
        </w:rPr>
        <w:t>216 </w:t>
      </w:r>
      <w:r>
        <w:rPr/>
        <w:t>米。本区主要地貌分为川道、丘陵、山地三大自然地貌，</w:t>
      </w:r>
    </w:p>
    <w:p>
      <w:pPr>
        <w:pStyle w:val="BodyText"/>
        <w:spacing w:before="153"/>
        <w:ind w:left="335"/>
      </w:pPr>
      <w:r>
        <w:rPr>
          <w:rFonts w:ascii="Times New Roman" w:hAnsi="Times New Roman" w:eastAsia="Times New Roman"/>
        </w:rPr>
        <w:t>“</w:t>
      </w:r>
      <w:r>
        <w:rPr/>
        <w:t>三山夹两川</w:t>
      </w:r>
      <w:r>
        <w:rPr>
          <w:rFonts w:ascii="Times New Roman" w:hAnsi="Times New Roman" w:eastAsia="Times New Roman"/>
        </w:rPr>
        <w:t>”</w:t>
      </w:r>
      <w:r>
        <w:rPr/>
        <w:t>的地势轮廓。</w:t>
      </w:r>
    </w:p>
    <w:p>
      <w:pPr>
        <w:pStyle w:val="BodyText"/>
        <w:spacing w:line="360" w:lineRule="auto" w:before="151"/>
        <w:ind w:left="335" w:right="311" w:firstLine="480"/>
        <w:jc w:val="both"/>
      </w:pPr>
      <w:r>
        <w:rPr>
          <w:spacing w:val="-2"/>
        </w:rPr>
        <w:t>矿区位于陕西省安康市汉滨区西部月河川道，处于汉江流域的恒河与月河交汇处，属</w:t>
      </w:r>
      <w:r>
        <w:rPr>
          <w:spacing w:val="-7"/>
        </w:rPr>
        <w:t>陕南秦巴山地丘陵沟壑区，矿区内海拔 </w:t>
      </w:r>
      <w:r>
        <w:rPr>
          <w:rFonts w:ascii="Times New Roman" w:eastAsia="Times New Roman"/>
        </w:rPr>
        <w:t>287.21-321.25 </w:t>
      </w:r>
      <w:r>
        <w:rPr>
          <w:spacing w:val="-9"/>
        </w:rPr>
        <w:t>米，总体地势是北高南低，区内无常</w:t>
      </w:r>
      <w:r>
        <w:rPr/>
        <w:t>年流水河流。</w:t>
      </w:r>
    </w:p>
    <w:p>
      <w:pPr>
        <w:pStyle w:val="Heading2"/>
        <w:spacing w:before="13"/>
        <w:ind w:left="816"/>
        <w:jc w:val="both"/>
      </w:pPr>
      <w:bookmarkStart w:name="2. 2地质构造" w:id="13"/>
      <w:bookmarkEnd w:id="13"/>
      <w:r>
        <w:rPr>
          <w:b w:val="0"/>
        </w:rPr>
      </w:r>
      <w:r>
        <w:rPr>
          <w:rFonts w:ascii="Times New Roman" w:eastAsia="Times New Roman"/>
        </w:rPr>
        <w:t>2. 2 </w:t>
      </w:r>
      <w:r>
        <w:rPr/>
        <w:t>地质构造</w:t>
      </w:r>
    </w:p>
    <w:p>
      <w:pPr>
        <w:pStyle w:val="BodyText"/>
        <w:spacing w:line="360" w:lineRule="auto" w:before="156"/>
        <w:ind w:left="335" w:right="313" w:firstLine="480"/>
        <w:jc w:val="both"/>
      </w:pPr>
      <w:r>
        <w:rPr/>
        <w:t>该区位于秦岭褶皱系南秦岭印支褶皱带与北大巴山加里东褶皱带的交接部位。区域地质构造稳定，结构简单，岩石较为坚硬完整，覆盖层较浅。经查阅地质资料和参考邻近区域相应建筑工程，本项目整个场地内不存在构造断裂等影响建筑物安全性的不良工程地质作用，场址区处于相对稳定地段。</w:t>
      </w:r>
    </w:p>
    <w:p>
      <w:pPr>
        <w:pStyle w:val="BodyText"/>
        <w:spacing w:line="360" w:lineRule="auto"/>
        <w:ind w:left="335" w:right="193" w:firstLine="480"/>
        <w:jc w:val="both"/>
      </w:pPr>
      <w:r>
        <w:rPr>
          <w:spacing w:val="-10"/>
        </w:rPr>
        <w:t>根据《建筑抗震设计规范》</w:t>
      </w:r>
      <w:r>
        <w:rPr/>
        <w:t>（</w:t>
      </w:r>
      <w:r>
        <w:rPr>
          <w:rFonts w:ascii="Times New Roman" w:eastAsia="Times New Roman"/>
        </w:rPr>
        <w:t>GB50011-2016</w:t>
      </w:r>
      <w:r>
        <w:rPr/>
        <w:t>）</w:t>
      </w:r>
      <w:r>
        <w:rPr>
          <w:spacing w:val="-9"/>
        </w:rPr>
        <w:t>规范附录 </w:t>
      </w:r>
      <w:r>
        <w:rPr>
          <w:rFonts w:ascii="Times New Roman" w:eastAsia="Times New Roman"/>
        </w:rPr>
        <w:t>A</w:t>
      </w:r>
      <w:r>
        <w:rPr/>
        <w:t>，恒口示范区抗震设防烈度</w:t>
      </w:r>
      <w:r>
        <w:rPr>
          <w:spacing w:val="-30"/>
        </w:rPr>
        <w:t>为 </w:t>
      </w:r>
      <w:r>
        <w:rPr>
          <w:rFonts w:ascii="Times New Roman" w:eastAsia="Times New Roman"/>
        </w:rPr>
        <w:t>7 </w:t>
      </w:r>
      <w:r>
        <w:rPr>
          <w:spacing w:val="-16"/>
        </w:rPr>
        <w:t>度，设计基本地震加速度值为 </w:t>
      </w:r>
      <w:r>
        <w:rPr>
          <w:rFonts w:ascii="Times New Roman" w:eastAsia="Times New Roman"/>
        </w:rPr>
        <w:t>0.10g</w:t>
      </w:r>
      <w:r>
        <w:rPr>
          <w:spacing w:val="-20"/>
        </w:rPr>
        <w:t>，设计地震分组为第一组，设计特征周期值为 </w:t>
      </w:r>
      <w:r>
        <w:rPr>
          <w:rFonts w:ascii="Times New Roman" w:eastAsia="Times New Roman"/>
        </w:rPr>
        <w:t>0.35s</w:t>
      </w:r>
      <w:r>
        <w:rPr>
          <w:spacing w:val="-15"/>
        </w:rPr>
        <w:t>。</w:t>
      </w:r>
    </w:p>
    <w:p>
      <w:pPr>
        <w:pStyle w:val="Heading2"/>
        <w:numPr>
          <w:ilvl w:val="1"/>
          <w:numId w:val="8"/>
        </w:numPr>
        <w:tabs>
          <w:tab w:pos="1176" w:val="left" w:leader="none"/>
        </w:tabs>
        <w:spacing w:line="240" w:lineRule="auto" w:before="9" w:after="0"/>
        <w:ind w:left="1176" w:right="0" w:hanging="360"/>
        <w:jc w:val="both"/>
      </w:pPr>
      <w:bookmarkStart w:name="2.3气候、气象" w:id="14"/>
      <w:bookmarkEnd w:id="14"/>
      <w:r>
        <w:rPr>
          <w:b w:val="0"/>
        </w:rPr>
      </w:r>
      <w:bookmarkStart w:name="2.3气候、气象" w:id="15"/>
      <w:bookmarkEnd w:id="15"/>
      <w:r>
        <w:rPr/>
        <w:t>气候、气象</w:t>
      </w:r>
    </w:p>
    <w:p>
      <w:pPr>
        <w:pStyle w:val="BodyText"/>
        <w:spacing w:line="360" w:lineRule="auto" w:before="156"/>
        <w:ind w:left="335" w:right="306" w:firstLine="480"/>
        <w:jc w:val="both"/>
      </w:pPr>
      <w:r>
        <w:rPr>
          <w:spacing w:val="-2"/>
        </w:rPr>
        <w:t>恒口示范区地处北亚热带湿润季风气候区，光照适中、雨量充足，气候温和，四季分</w:t>
      </w:r>
      <w:r>
        <w:rPr>
          <w:spacing w:val="-12"/>
        </w:rPr>
        <w:t>明。多年平均气温 </w:t>
      </w:r>
      <w:r>
        <w:rPr>
          <w:rFonts w:ascii="Times New Roman" w:hAnsi="Times New Roman" w:eastAsia="Times New Roman"/>
          <w:spacing w:val="-5"/>
        </w:rPr>
        <w:t>15.5℃</w:t>
      </w:r>
      <w:r>
        <w:rPr>
          <w:spacing w:val="-9"/>
        </w:rPr>
        <w:t>，极端最高气温达 </w:t>
      </w:r>
      <w:r>
        <w:rPr>
          <w:rFonts w:ascii="Times New Roman" w:hAnsi="Times New Roman" w:eastAsia="Times New Roman"/>
          <w:spacing w:val="-4"/>
        </w:rPr>
        <w:t>41.7℃</w:t>
      </w:r>
      <w:r>
        <w:rPr>
          <w:spacing w:val="-3"/>
        </w:rPr>
        <w:t>，极端最低气温低于</w:t>
      </w:r>
      <w:r>
        <w:rPr>
          <w:rFonts w:ascii="Times New Roman" w:hAnsi="Times New Roman" w:eastAsia="Times New Roman"/>
        </w:rPr>
        <w:t>-10℃</w:t>
      </w:r>
      <w:r>
        <w:rPr>
          <w:spacing w:val="-7"/>
        </w:rPr>
        <w:t>。年平均风速</w:t>
      </w:r>
      <w:r>
        <w:rPr>
          <w:rFonts w:ascii="Times New Roman" w:hAnsi="Times New Roman" w:eastAsia="Times New Roman"/>
        </w:rPr>
        <w:t>2.0m/s</w:t>
      </w:r>
      <w:r>
        <w:rPr>
          <w:spacing w:val="-1"/>
        </w:rPr>
        <w:t>，主导风向为东北东风，依次为东、东北、西北向风，年静风频率为 </w:t>
      </w:r>
      <w:r>
        <w:rPr>
          <w:rFonts w:ascii="Times New Roman" w:hAnsi="Times New Roman" w:eastAsia="Times New Roman"/>
        </w:rPr>
        <w:t>50%</w:t>
      </w:r>
      <w:r>
        <w:rPr/>
        <w:t>，年平均</w:t>
      </w:r>
      <w:r>
        <w:rPr>
          <w:spacing w:val="-18"/>
        </w:rPr>
        <w:t>日照 </w:t>
      </w:r>
      <w:r>
        <w:rPr>
          <w:rFonts w:ascii="Times New Roman" w:hAnsi="Times New Roman" w:eastAsia="Times New Roman"/>
        </w:rPr>
        <w:t>1747.6 </w:t>
      </w:r>
      <w:r>
        <w:rPr>
          <w:spacing w:val="-8"/>
        </w:rPr>
        <w:t>小时，无霜期 </w:t>
      </w:r>
      <w:r>
        <w:rPr>
          <w:rFonts w:ascii="Times New Roman" w:hAnsi="Times New Roman" w:eastAsia="Times New Roman"/>
        </w:rPr>
        <w:t>210—270 </w:t>
      </w:r>
      <w:r>
        <w:rPr>
          <w:spacing w:val="-11"/>
        </w:rPr>
        <w:t>天，平均 </w:t>
      </w:r>
      <w:r>
        <w:rPr>
          <w:rFonts w:ascii="Times New Roman" w:hAnsi="Times New Roman" w:eastAsia="Times New Roman"/>
        </w:rPr>
        <w:t>8 </w:t>
      </w:r>
      <w:r>
        <w:rPr/>
        <w:t>个月以上。降水和时间的关系十分密切， </w:t>
      </w:r>
      <w:r>
        <w:rPr>
          <w:spacing w:val="-8"/>
        </w:rPr>
        <w:t>降水的年际变化大，多年平均降水量 </w:t>
      </w:r>
      <w:r>
        <w:rPr>
          <w:rFonts w:ascii="Times New Roman" w:hAnsi="Times New Roman" w:eastAsia="Times New Roman"/>
        </w:rPr>
        <w:t>799.3mm</w:t>
      </w:r>
      <w:r>
        <w:rPr>
          <w:spacing w:val="-13"/>
        </w:rPr>
        <w:t>，最大降水量 </w:t>
      </w:r>
      <w:r>
        <w:rPr>
          <w:rFonts w:ascii="Times New Roman" w:hAnsi="Times New Roman" w:eastAsia="Times New Roman"/>
          <w:spacing w:val="-5"/>
        </w:rPr>
        <w:t>1</w:t>
      </w:r>
      <w:r>
        <w:rPr>
          <w:rFonts w:ascii="Times New Roman" w:hAnsi="Times New Roman" w:eastAsia="Times New Roman"/>
          <w:spacing w:val="-3"/>
        </w:rPr>
        <w:t>1</w:t>
      </w:r>
      <w:r>
        <w:rPr>
          <w:rFonts w:ascii="Times New Roman" w:hAnsi="Times New Roman" w:eastAsia="Times New Roman"/>
        </w:rPr>
        <w:t>09.2m</w:t>
      </w:r>
      <w:r>
        <w:rPr>
          <w:rFonts w:ascii="Times New Roman" w:hAnsi="Times New Roman" w:eastAsia="Times New Roman"/>
          <w:spacing w:val="-22"/>
        </w:rPr>
        <w:t>m</w:t>
      </w:r>
      <w:r>
        <w:rPr/>
        <w:t>（</w:t>
      </w:r>
      <w:r>
        <w:rPr>
          <w:rFonts w:ascii="Times New Roman" w:hAnsi="Times New Roman" w:eastAsia="Times New Roman"/>
        </w:rPr>
        <w:t>1983 </w:t>
      </w:r>
      <w:r>
        <w:rPr/>
        <w:t>年</w:t>
      </w:r>
      <w:r>
        <w:rPr>
          <w:spacing w:val="-120"/>
        </w:rPr>
        <w:t>）</w:t>
      </w:r>
      <w:r>
        <w:rPr>
          <w:spacing w:val="-6"/>
        </w:rPr>
        <w:t>，最小降</w:t>
      </w:r>
      <w:r>
        <w:rPr>
          <w:spacing w:val="-25"/>
        </w:rPr>
        <w:t>水量 </w:t>
      </w:r>
      <w:r>
        <w:rPr>
          <w:rFonts w:ascii="Times New Roman" w:hAnsi="Times New Roman" w:eastAsia="Times New Roman"/>
        </w:rPr>
        <w:t>540.3mm</w:t>
      </w:r>
      <w:r>
        <w:rPr>
          <w:spacing w:val="2"/>
        </w:rPr>
        <w:t>（</w:t>
      </w:r>
      <w:r>
        <w:rPr>
          <w:rFonts w:ascii="Times New Roman" w:hAnsi="Times New Roman" w:eastAsia="Times New Roman"/>
        </w:rPr>
        <w:t>1960 </w:t>
      </w:r>
      <w:r>
        <w:rPr/>
        <w:t>年</w:t>
      </w:r>
      <w:r>
        <w:rPr>
          <w:spacing w:val="-118"/>
        </w:rPr>
        <w:t>）</w:t>
      </w:r>
      <w:r>
        <w:rPr>
          <w:spacing w:val="-4"/>
        </w:rPr>
        <w:t>；年内变化差异明显，最低值出现在 </w:t>
      </w:r>
      <w:r>
        <w:rPr>
          <w:rFonts w:ascii="Times New Roman" w:hAnsi="Times New Roman" w:eastAsia="Times New Roman"/>
        </w:rPr>
        <w:t>2 </w:t>
      </w:r>
      <w:r>
        <w:rPr>
          <w:spacing w:val="-10"/>
        </w:rPr>
        <w:t>月份，不足 </w:t>
      </w:r>
      <w:r>
        <w:rPr>
          <w:rFonts w:ascii="Times New Roman" w:hAnsi="Times New Roman" w:eastAsia="Times New Roman"/>
        </w:rPr>
        <w:t>1.0mm</w:t>
      </w:r>
      <w:r>
        <w:rPr/>
        <w:t>，最高</w:t>
      </w:r>
      <w:r>
        <w:rPr>
          <w:spacing w:val="-12"/>
        </w:rPr>
        <w:t>值出现在 </w:t>
      </w:r>
      <w:r>
        <w:rPr>
          <w:rFonts w:ascii="Times New Roman" w:hAnsi="Times New Roman" w:eastAsia="Times New Roman"/>
        </w:rPr>
        <w:t>6 </w:t>
      </w:r>
      <w:r>
        <w:rPr>
          <w:spacing w:val="-17"/>
        </w:rPr>
        <w:t>月份，为 </w:t>
      </w:r>
      <w:r>
        <w:rPr>
          <w:rFonts w:ascii="Times New Roman" w:hAnsi="Times New Roman" w:eastAsia="Times New Roman"/>
          <w:spacing w:val="-3"/>
        </w:rPr>
        <w:t>242.0mm</w:t>
      </w:r>
      <w:r>
        <w:rPr>
          <w:spacing w:val="-10"/>
        </w:rPr>
        <w:t>，最高值的月份 </w:t>
      </w:r>
      <w:r>
        <w:rPr>
          <w:rFonts w:ascii="Times New Roman" w:hAnsi="Times New Roman" w:eastAsia="Times New Roman"/>
        </w:rPr>
        <w:t>5-10 </w:t>
      </w:r>
      <w:r>
        <w:rPr>
          <w:spacing w:val="-10"/>
        </w:rPr>
        <w:t>月均有出现，降水量以 </w:t>
      </w:r>
      <w:r>
        <w:rPr>
          <w:rFonts w:ascii="Times New Roman" w:hAnsi="Times New Roman" w:eastAsia="Times New Roman"/>
        </w:rPr>
        <w:t>7</w:t>
      </w:r>
      <w:r>
        <w:rPr>
          <w:spacing w:val="-20"/>
        </w:rPr>
        <w:t>、</w:t>
      </w:r>
      <w:r>
        <w:rPr>
          <w:rFonts w:ascii="Times New Roman" w:hAnsi="Times New Roman" w:eastAsia="Times New Roman"/>
        </w:rPr>
        <w:t>8</w:t>
      </w:r>
      <w:r>
        <w:rPr>
          <w:spacing w:val="-20"/>
        </w:rPr>
        <w:t>、</w:t>
      </w:r>
      <w:r>
        <w:rPr>
          <w:rFonts w:ascii="Times New Roman" w:hAnsi="Times New Roman" w:eastAsia="Times New Roman"/>
        </w:rPr>
        <w:t>9 </w:t>
      </w:r>
      <w:r>
        <w:rPr/>
        <w:t>三个月</w:t>
      </w:r>
      <w:r>
        <w:rPr>
          <w:spacing w:val="-5"/>
        </w:rPr>
        <w:t>为最多，占全年总降水量的 </w:t>
      </w:r>
      <w:r>
        <w:rPr>
          <w:rFonts w:ascii="Times New Roman" w:hAnsi="Times New Roman" w:eastAsia="Times New Roman"/>
        </w:rPr>
        <w:t>70</w:t>
      </w:r>
      <w:r>
        <w:rPr/>
        <w:t>％，且多以连阴雨夹暴雨出现。</w:t>
      </w:r>
    </w:p>
    <w:p>
      <w:pPr>
        <w:pStyle w:val="Heading2"/>
        <w:numPr>
          <w:ilvl w:val="1"/>
          <w:numId w:val="8"/>
        </w:numPr>
        <w:tabs>
          <w:tab w:pos="1176" w:val="left" w:leader="none"/>
        </w:tabs>
        <w:spacing w:line="240" w:lineRule="auto" w:before="6" w:after="0"/>
        <w:ind w:left="1176" w:right="0" w:hanging="360"/>
        <w:jc w:val="both"/>
      </w:pPr>
      <w:bookmarkStart w:name="2.4水文" w:id="16"/>
      <w:bookmarkEnd w:id="16"/>
      <w:r>
        <w:rPr>
          <w:b w:val="0"/>
        </w:rPr>
      </w:r>
      <w:bookmarkStart w:name="2.4水文" w:id="17"/>
      <w:bookmarkEnd w:id="17"/>
      <w:r>
        <w:rPr/>
        <w:t>水文</w:t>
      </w:r>
    </w:p>
    <w:p>
      <w:pPr>
        <w:pStyle w:val="BodyText"/>
        <w:spacing w:line="374" w:lineRule="auto" w:before="172"/>
        <w:ind w:left="335" w:right="311" w:firstLine="480"/>
        <w:jc w:val="both"/>
      </w:pPr>
      <w:r>
        <w:rPr>
          <w:spacing w:val="-6"/>
        </w:rPr>
        <w:t>项目建设地南侧 </w:t>
      </w:r>
      <w:r>
        <w:rPr>
          <w:rFonts w:ascii="Times New Roman" w:eastAsia="Times New Roman"/>
        </w:rPr>
        <w:t>890m </w:t>
      </w:r>
      <w:r>
        <w:rPr/>
        <w:t>处为月河自西向东流过。月河自汉阴县双乳镇三同村入境，自</w:t>
      </w:r>
      <w:r>
        <w:rPr>
          <w:spacing w:val="-3"/>
        </w:rPr>
        <w:t>西向东横穿恒口示范区。月河系汉江一级支流，发源于汉阴县凤凰山主峰铁瓦殿北麓，因</w:t>
      </w:r>
      <w:r>
        <w:rPr>
          <w:spacing w:val="-7"/>
        </w:rPr>
        <w:t>河流曲折平缓，形似弯月，故得名月河。月河全长 </w:t>
      </w:r>
      <w:r>
        <w:rPr>
          <w:rFonts w:ascii="Times New Roman" w:eastAsia="Times New Roman"/>
        </w:rPr>
        <w:t>95.2km</w:t>
      </w:r>
      <w:r>
        <w:rPr>
          <w:spacing w:val="-11"/>
        </w:rPr>
        <w:t>，流域面积 </w:t>
      </w:r>
      <w:r>
        <w:rPr>
          <w:rFonts w:ascii="Times New Roman" w:eastAsia="Times New Roman"/>
        </w:rPr>
        <w:t>2830km</w:t>
      </w:r>
      <w:r>
        <w:rPr>
          <w:rFonts w:ascii="Times New Roman" w:eastAsia="Times New Roman"/>
          <w:position w:val="8"/>
          <w:sz w:val="15"/>
        </w:rPr>
        <w:t>2</w:t>
      </w:r>
      <w:r>
        <w:rPr>
          <w:spacing w:val="-3"/>
        </w:rPr>
        <w:t>，河道比降</w:t>
      </w:r>
    </w:p>
    <w:p>
      <w:pPr>
        <w:spacing w:after="0" w:line="374" w:lineRule="auto"/>
        <w:jc w:val="both"/>
        <w:sectPr>
          <w:footerReference w:type="default" r:id="rId9"/>
          <w:pgSz w:w="11910" w:h="16840"/>
          <w:pgMar w:footer="770" w:header="0" w:top="1300" w:bottom="960" w:left="1020" w:right="880"/>
          <w:pgNumType w:start="10"/>
        </w:sectPr>
      </w:pPr>
    </w:p>
    <w:p>
      <w:pPr>
        <w:pStyle w:val="BodyText"/>
        <w:spacing w:line="374" w:lineRule="auto" w:before="163"/>
        <w:ind w:left="335" w:right="310"/>
        <w:jc w:val="both"/>
      </w:pPr>
      <w:r>
        <w:rPr/>
        <w:pict>
          <v:shape style="position:absolute;margin-left:62.110001pt;margin-top:75.860016pt;width:479.15pt;height:703.75pt;mso-position-horizontal-relative:page;mso-position-vertical-relative:page;z-index:-256985088" coordorigin="1242,1517" coordsize="9583,14075" path="m1242,1252l10825,1252m1242,15322l10825,15322m1247,1247l1247,15317m10820,1247l10820,15317e" filled="false" stroked="true" strokeweight=".48pt" strokecolor="#000000">
            <v:path arrowok="t"/>
            <v:stroke dashstyle="solid"/>
            <w10:wrap type="none"/>
          </v:shape>
        </w:pict>
      </w:r>
      <w:r>
        <w:rPr>
          <w:rFonts w:ascii="Times New Roman" w:hAnsi="Times New Roman" w:eastAsia="Times New Roman"/>
          <w:spacing w:val="-4"/>
        </w:rPr>
        <w:t>2.79‰</w:t>
      </w:r>
      <w:r>
        <w:rPr>
          <w:spacing w:val="-10"/>
        </w:rPr>
        <w:t>，水力蕴藏量 </w:t>
      </w:r>
      <w:r>
        <w:rPr>
          <w:rFonts w:ascii="Times New Roman" w:hAnsi="Times New Roman" w:eastAsia="Times New Roman"/>
        </w:rPr>
        <w:t>2479 </w:t>
      </w:r>
      <w:r>
        <w:rPr>
          <w:spacing w:val="-9"/>
        </w:rPr>
        <w:t>万千瓦。月河在汉滨区境内流长 </w:t>
      </w:r>
      <w:r>
        <w:rPr>
          <w:rFonts w:ascii="Times New Roman" w:hAnsi="Times New Roman" w:eastAsia="Times New Roman"/>
          <w:spacing w:val="-5"/>
        </w:rPr>
        <w:t>40km</w:t>
      </w:r>
      <w:r>
        <w:rPr>
          <w:spacing w:val="-11"/>
        </w:rPr>
        <w:t>，流域面积 </w:t>
      </w:r>
      <w:r>
        <w:rPr>
          <w:rFonts w:ascii="Times New Roman" w:hAnsi="Times New Roman" w:eastAsia="Times New Roman"/>
          <w:spacing w:val="-3"/>
        </w:rPr>
        <w:t>1949.3km</w:t>
      </w:r>
      <w:r>
        <w:rPr>
          <w:rFonts w:ascii="Times New Roman" w:hAnsi="Times New Roman" w:eastAsia="Times New Roman"/>
          <w:spacing w:val="-3"/>
          <w:position w:val="8"/>
          <w:sz w:val="15"/>
        </w:rPr>
        <w:t>2</w:t>
      </w:r>
      <w:r>
        <w:rPr>
          <w:spacing w:val="-10"/>
        </w:rPr>
        <w:t>，多</w:t>
      </w:r>
      <w:r>
        <w:rPr>
          <w:spacing w:val="-9"/>
        </w:rPr>
        <w:t>年平均径流量 </w:t>
      </w:r>
      <w:r>
        <w:rPr>
          <w:rFonts w:ascii="Times New Roman" w:hAnsi="Times New Roman" w:eastAsia="Times New Roman"/>
        </w:rPr>
        <w:t>9.42 </w:t>
      </w:r>
      <w:r>
        <w:rPr>
          <w:spacing w:val="-29"/>
        </w:rPr>
        <w:t>亿 </w:t>
      </w:r>
      <w:r>
        <w:rPr>
          <w:rFonts w:ascii="Times New Roman" w:hAnsi="Times New Roman" w:eastAsia="Times New Roman"/>
          <w:spacing w:val="-7"/>
        </w:rPr>
        <w:t>m</w:t>
      </w:r>
      <w:r>
        <w:rPr>
          <w:rFonts w:ascii="Times New Roman" w:hAnsi="Times New Roman" w:eastAsia="Times New Roman"/>
          <w:spacing w:val="-7"/>
          <w:position w:val="8"/>
          <w:sz w:val="15"/>
        </w:rPr>
        <w:t>3</w:t>
      </w:r>
      <w:r>
        <w:rPr>
          <w:spacing w:val="-10"/>
        </w:rPr>
        <w:t>，实测年最大流量 </w:t>
      </w:r>
      <w:r>
        <w:rPr>
          <w:rFonts w:ascii="Times New Roman" w:hAnsi="Times New Roman" w:eastAsia="Times New Roman"/>
        </w:rPr>
        <w:t>19.20 </w:t>
      </w:r>
      <w:r>
        <w:rPr>
          <w:spacing w:val="-30"/>
        </w:rPr>
        <w:t>亿 </w:t>
      </w:r>
      <w:r>
        <w:rPr>
          <w:rFonts w:ascii="Times New Roman" w:hAnsi="Times New Roman" w:eastAsia="Times New Roman"/>
          <w:spacing w:val="-7"/>
        </w:rPr>
        <w:t>m</w:t>
      </w:r>
      <w:r>
        <w:rPr>
          <w:rFonts w:ascii="Times New Roman" w:hAnsi="Times New Roman" w:eastAsia="Times New Roman"/>
          <w:spacing w:val="-7"/>
          <w:position w:val="8"/>
          <w:sz w:val="15"/>
        </w:rPr>
        <w:t>3</w:t>
      </w:r>
      <w:r>
        <w:rPr>
          <w:spacing w:val="-11"/>
        </w:rPr>
        <w:t>，年最小流量 </w:t>
      </w:r>
      <w:r>
        <w:rPr>
          <w:rFonts w:ascii="Times New Roman" w:hAnsi="Times New Roman" w:eastAsia="Times New Roman"/>
        </w:rPr>
        <w:t>2.83 </w:t>
      </w:r>
      <w:r>
        <w:rPr>
          <w:spacing w:val="-29"/>
        </w:rPr>
        <w:t>亿 </w:t>
      </w:r>
      <w:r>
        <w:rPr>
          <w:rFonts w:ascii="Times New Roman" w:hAnsi="Times New Roman" w:eastAsia="Times New Roman"/>
          <w:spacing w:val="-8"/>
        </w:rPr>
        <w:t>m</w:t>
      </w:r>
      <w:r>
        <w:rPr>
          <w:rFonts w:ascii="Times New Roman" w:hAnsi="Times New Roman" w:eastAsia="Times New Roman"/>
          <w:spacing w:val="-8"/>
          <w:position w:val="8"/>
          <w:sz w:val="15"/>
        </w:rPr>
        <w:t>3</w:t>
      </w:r>
      <w:r>
        <w:rPr>
          <w:spacing w:val="-9"/>
        </w:rPr>
        <w:t>，根据《安</w:t>
      </w:r>
      <w:r>
        <w:rPr>
          <w:spacing w:val="-1"/>
        </w:rPr>
        <w:t>康地区实用水文手册》统计资料表明：月河日保证率为 </w:t>
      </w:r>
      <w:r>
        <w:rPr>
          <w:rFonts w:ascii="Times New Roman" w:hAnsi="Times New Roman" w:eastAsia="Times New Roman"/>
        </w:rPr>
        <w:t>25%</w:t>
      </w:r>
      <w:r>
        <w:rPr/>
        <w:t>、</w:t>
      </w:r>
      <w:r>
        <w:rPr>
          <w:rFonts w:ascii="Times New Roman" w:hAnsi="Times New Roman" w:eastAsia="Times New Roman"/>
        </w:rPr>
        <w:t>50%</w:t>
      </w:r>
      <w:r>
        <w:rPr/>
        <w:t>、</w:t>
      </w:r>
      <w:r>
        <w:rPr>
          <w:rFonts w:ascii="Times New Roman" w:hAnsi="Times New Roman" w:eastAsia="Times New Roman"/>
        </w:rPr>
        <w:t>75%</w:t>
      </w:r>
      <w:r>
        <w:rPr/>
        <w:t>、</w:t>
      </w:r>
      <w:r>
        <w:rPr>
          <w:rFonts w:ascii="Times New Roman" w:hAnsi="Times New Roman" w:eastAsia="Times New Roman"/>
        </w:rPr>
        <w:t>80%</w:t>
      </w:r>
      <w:r>
        <w:rPr/>
        <w:t>时，日平</w:t>
      </w:r>
      <w:r>
        <w:rPr>
          <w:spacing w:val="-9"/>
        </w:rPr>
        <w:t>均流量分别为 </w:t>
      </w:r>
      <w:r>
        <w:rPr>
          <w:rFonts w:ascii="Times New Roman" w:hAnsi="Times New Roman" w:eastAsia="Times New Roman"/>
        </w:rPr>
        <w:t>22.13m</w:t>
      </w:r>
      <w:r>
        <w:rPr>
          <w:rFonts w:ascii="Times New Roman" w:hAnsi="Times New Roman" w:eastAsia="Times New Roman"/>
          <w:position w:val="8"/>
          <w:sz w:val="15"/>
        </w:rPr>
        <w:t>3</w:t>
      </w:r>
      <w:r>
        <w:rPr>
          <w:rFonts w:ascii="Times New Roman" w:hAnsi="Times New Roman" w:eastAsia="Times New Roman"/>
        </w:rPr>
        <w:t>/s</w:t>
      </w:r>
      <w:r>
        <w:rPr/>
        <w:t>、</w:t>
      </w:r>
      <w:r>
        <w:rPr>
          <w:rFonts w:ascii="Times New Roman" w:hAnsi="Times New Roman" w:eastAsia="Times New Roman"/>
        </w:rPr>
        <w:t>10m</w:t>
      </w:r>
      <w:r>
        <w:rPr>
          <w:rFonts w:ascii="Times New Roman" w:hAnsi="Times New Roman" w:eastAsia="Times New Roman"/>
          <w:position w:val="8"/>
          <w:sz w:val="15"/>
        </w:rPr>
        <w:t>3</w:t>
      </w:r>
      <w:r>
        <w:rPr>
          <w:rFonts w:ascii="Times New Roman" w:hAnsi="Times New Roman" w:eastAsia="Times New Roman"/>
        </w:rPr>
        <w:t>/s</w:t>
      </w:r>
      <w:r>
        <w:rPr/>
        <w:t>、</w:t>
      </w:r>
      <w:r>
        <w:rPr>
          <w:rFonts w:ascii="Times New Roman" w:hAnsi="Times New Roman" w:eastAsia="Times New Roman"/>
        </w:rPr>
        <w:t>5.24m</w:t>
      </w:r>
      <w:r>
        <w:rPr>
          <w:rFonts w:ascii="Times New Roman" w:hAnsi="Times New Roman" w:eastAsia="Times New Roman"/>
          <w:position w:val="8"/>
          <w:sz w:val="15"/>
        </w:rPr>
        <w:t>3</w:t>
      </w:r>
      <w:r>
        <w:rPr>
          <w:rFonts w:ascii="Times New Roman" w:hAnsi="Times New Roman" w:eastAsia="Times New Roman"/>
        </w:rPr>
        <w:t>/s</w:t>
      </w:r>
      <w:r>
        <w:rPr/>
        <w:t>、</w:t>
      </w:r>
      <w:r>
        <w:rPr>
          <w:rFonts w:ascii="Times New Roman" w:hAnsi="Times New Roman" w:eastAsia="Times New Roman"/>
        </w:rPr>
        <w:t>4.46m</w:t>
      </w:r>
      <w:r>
        <w:rPr>
          <w:rFonts w:ascii="Times New Roman" w:hAnsi="Times New Roman" w:eastAsia="Times New Roman"/>
          <w:position w:val="8"/>
          <w:sz w:val="15"/>
        </w:rPr>
        <w:t>3</w:t>
      </w:r>
      <w:r>
        <w:rPr>
          <w:rFonts w:ascii="Times New Roman" w:hAnsi="Times New Roman" w:eastAsia="Times New Roman"/>
        </w:rPr>
        <w:t>/s</w:t>
      </w:r>
      <w:r>
        <w:rPr/>
        <w:t>。</w:t>
      </w:r>
    </w:p>
    <w:p>
      <w:pPr>
        <w:pStyle w:val="Heading2"/>
        <w:spacing w:before="1"/>
        <w:ind w:left="816"/>
        <w:jc w:val="both"/>
      </w:pPr>
      <w:bookmarkStart w:name="2.5植被与生物多样性" w:id="18"/>
      <w:bookmarkEnd w:id="18"/>
      <w:r>
        <w:rPr>
          <w:b w:val="0"/>
        </w:rPr>
      </w:r>
      <w:r>
        <w:rPr>
          <w:rFonts w:ascii="Times New Roman" w:eastAsia="Times New Roman"/>
        </w:rPr>
        <w:t>2.5 </w:t>
      </w:r>
      <w:r>
        <w:rPr/>
        <w:t>植被与生物多样性</w:t>
      </w:r>
    </w:p>
    <w:p>
      <w:pPr>
        <w:pStyle w:val="BodyText"/>
        <w:spacing w:line="374" w:lineRule="auto" w:before="173"/>
        <w:ind w:left="335" w:right="310" w:firstLine="480"/>
        <w:jc w:val="both"/>
      </w:pPr>
      <w:r>
        <w:rPr/>
        <w:t>矿区地处亚热带北部边缘，属亚热带常绿、落叶阔叶林地带和温带落叶阔叶林地带的分界线上，植被水平分布的过度性比较明显，形成森林类型多样，结构复杂，树种丰富的森林植被资源。主要乔木树种有：油松、栎类、杨类、栓皮栎等；灌木有：胡颓子，黄栌等；草本有：羊胡子草、丝茅草、菊科杂草、蕨类、蒿类等。</w:t>
      </w:r>
    </w:p>
    <w:p>
      <w:pPr>
        <w:pStyle w:val="BodyText"/>
        <w:spacing w:line="374" w:lineRule="auto" w:before="1"/>
        <w:ind w:left="335" w:right="313" w:firstLine="480"/>
      </w:pPr>
      <w:r>
        <w:rPr/>
        <w:t>项目范围内，无国家和地方重点保护的植物，无珍稀、濒危的野生动植物，生物多样性不显著。</w:t>
      </w:r>
    </w:p>
    <w:p>
      <w:pPr>
        <w:spacing w:after="0" w:line="374" w:lineRule="auto"/>
        <w:sectPr>
          <w:pgSz w:w="11910" w:h="16840"/>
          <w:pgMar w:header="0" w:footer="770" w:top="1220" w:bottom="1040" w:left="1020" w:right="880"/>
        </w:sectPr>
      </w:pPr>
    </w:p>
    <w:p>
      <w:pPr>
        <w:pStyle w:val="Heading1"/>
        <w:numPr>
          <w:ilvl w:val="0"/>
          <w:numId w:val="2"/>
        </w:numPr>
        <w:tabs>
          <w:tab w:pos="437" w:val="left" w:leader="none"/>
        </w:tabs>
        <w:spacing w:line="240" w:lineRule="auto" w:before="50" w:after="0"/>
        <w:ind w:left="436" w:right="0" w:hanging="210"/>
        <w:jc w:val="left"/>
      </w:pPr>
      <w:r>
        <w:rPr/>
        <w:pict>
          <v:shape style="position:absolute;margin-left:62.110001pt;margin-top:57.560013pt;width:479.15pt;height:692.05pt;mso-position-horizontal-relative:page;mso-position-vertical-relative:page;z-index:-256984064" coordorigin="1242,1151" coordsize="9583,13841" path="m1242,1852l10825,1852m1242,15688l10825,15688m1247,1847l1247,15683m10820,1847l10820,15683e" filled="false" stroked="true" strokeweight=".48pt" strokecolor="#000000">
            <v:path arrowok="t"/>
            <v:stroke dashstyle="solid"/>
            <w10:wrap type="none"/>
          </v:shape>
        </w:pict>
      </w:r>
      <w:bookmarkStart w:name="3环境质量状况" w:id="19"/>
      <w:bookmarkEnd w:id="19"/>
      <w:r>
        <w:rPr/>
      </w:r>
      <w:bookmarkStart w:name="_bookmark4" w:id="20"/>
      <w:bookmarkEnd w:id="20"/>
      <w:r>
        <w:rPr/>
      </w:r>
      <w:bookmarkStart w:name="_bookmark4" w:id="21"/>
      <w:bookmarkEnd w:id="21"/>
      <w:r>
        <w:rPr>
          <w:spacing w:val="-3"/>
        </w:rPr>
        <w:t>环境质量状况</w:t>
      </w:r>
    </w:p>
    <w:p>
      <w:pPr>
        <w:pStyle w:val="ListParagraph"/>
        <w:numPr>
          <w:ilvl w:val="1"/>
          <w:numId w:val="9"/>
        </w:numPr>
        <w:tabs>
          <w:tab w:pos="696" w:val="left" w:leader="none"/>
        </w:tabs>
        <w:spacing w:line="240" w:lineRule="auto" w:before="195" w:after="0"/>
        <w:ind w:left="696" w:right="0" w:hanging="361"/>
        <w:jc w:val="left"/>
        <w:rPr>
          <w:rFonts w:ascii="黑体" w:eastAsia="黑体" w:hint="eastAsia"/>
          <w:sz w:val="24"/>
        </w:rPr>
      </w:pPr>
      <w:bookmarkStart w:name="3.1建设项目所在地区域环境质量现状及主要环境问题" w:id="22"/>
      <w:bookmarkEnd w:id="22"/>
      <w:r>
        <w:rPr/>
      </w:r>
      <w:bookmarkStart w:name="_bookmark5" w:id="23"/>
      <w:bookmarkEnd w:id="23"/>
      <w:r>
        <w:rPr/>
      </w:r>
      <w:bookmarkStart w:name="_bookmark5" w:id="24"/>
      <w:bookmarkEnd w:id="24"/>
      <w:r>
        <w:rPr>
          <w:rFonts w:ascii="黑体" w:eastAsia="黑体" w:hint="eastAsia"/>
          <w:sz w:val="24"/>
        </w:rPr>
        <w:t>建设项目所在地区域环境质量现状及主要环境问题</w:t>
      </w:r>
    </w:p>
    <w:p>
      <w:pPr>
        <w:pStyle w:val="ListParagraph"/>
        <w:numPr>
          <w:ilvl w:val="2"/>
          <w:numId w:val="9"/>
        </w:numPr>
        <w:tabs>
          <w:tab w:pos="1356" w:val="left" w:leader="none"/>
        </w:tabs>
        <w:spacing w:line="240" w:lineRule="auto" w:before="155" w:after="0"/>
        <w:ind w:left="1356" w:right="0" w:hanging="540"/>
        <w:jc w:val="left"/>
        <w:rPr>
          <w:sz w:val="24"/>
        </w:rPr>
      </w:pPr>
      <w:r>
        <w:rPr>
          <w:sz w:val="24"/>
        </w:rPr>
        <w:t>环境空气质量现状</w:t>
      </w:r>
    </w:p>
    <w:p>
      <w:pPr>
        <w:pStyle w:val="BodyText"/>
        <w:spacing w:before="137"/>
        <w:ind w:left="816"/>
      </w:pPr>
      <w:r>
        <w:rPr/>
        <w:t>本项目位于安康市汉滨区，本次环境空气质量现状调查引用《安康市环境质量报告书</w:t>
      </w:r>
    </w:p>
    <w:p>
      <w:pPr>
        <w:pStyle w:val="BodyText"/>
        <w:spacing w:before="128"/>
        <w:ind w:left="335"/>
      </w:pPr>
      <w:r>
        <w:rPr>
          <w:position w:val="2"/>
        </w:rPr>
        <w:t>（</w:t>
      </w:r>
      <w:r>
        <w:rPr>
          <w:rFonts w:ascii="Times New Roman" w:eastAsia="Times New Roman"/>
          <w:position w:val="2"/>
        </w:rPr>
        <w:t>2018 </w:t>
      </w:r>
      <w:r>
        <w:rPr>
          <w:position w:val="2"/>
        </w:rPr>
        <w:t>年度）》进行分析，评价因子主要有 </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10</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2.5</w:t>
      </w:r>
      <w:r>
        <w:rPr>
          <w:position w:val="2"/>
          <w:vertAlign w:val="baseline"/>
        </w:rPr>
        <w:t>、</w:t>
      </w:r>
      <w:r>
        <w:rPr>
          <w:rFonts w:ascii="Times New Roman" w:eastAsia="Times New Roman"/>
          <w:position w:val="2"/>
          <w:vertAlign w:val="baseline"/>
        </w:rPr>
        <w:t>CO</w:t>
      </w:r>
      <w:r>
        <w:rPr>
          <w:position w:val="2"/>
          <w:vertAlign w:val="baseline"/>
        </w:rPr>
        <w:t>、</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w:t>
      </w:r>
      <w:r>
        <w:rPr>
          <w:position w:val="2"/>
          <w:vertAlign w:val="baseline"/>
        </w:rPr>
        <w:t>六项指标，</w:t>
      </w:r>
    </w:p>
    <w:p>
      <w:pPr>
        <w:pStyle w:val="BodyText"/>
        <w:spacing w:before="133"/>
        <w:ind w:left="335"/>
      </w:pPr>
      <w:r>
        <w:rPr>
          <w:rFonts w:ascii="Times New Roman" w:eastAsia="Times New Roman"/>
        </w:rPr>
        <w:t>2018 </w:t>
      </w:r>
      <w:r>
        <w:rPr/>
        <w:t>年安康市环境空气质量状况统计见表 </w:t>
      </w:r>
      <w:r>
        <w:rPr>
          <w:rFonts w:ascii="Times New Roman" w:eastAsia="Times New Roman"/>
        </w:rPr>
        <w:t>3.1</w:t>
      </w:r>
      <w:r>
        <w:rPr/>
        <w:t>。</w:t>
      </w:r>
    </w:p>
    <w:p>
      <w:pPr>
        <w:pStyle w:val="Heading2"/>
        <w:tabs>
          <w:tab w:pos="3482" w:val="left" w:leader="none"/>
        </w:tabs>
        <w:spacing w:before="132" w:after="20"/>
        <w:ind w:left="2642"/>
      </w:pPr>
      <w:r>
        <w:rPr/>
        <w:t>表</w:t>
      </w:r>
      <w:r>
        <w:rPr>
          <w:spacing w:val="-62"/>
        </w:rPr>
        <w:t> </w:t>
      </w:r>
      <w:r>
        <w:rPr>
          <w:rFonts w:ascii="Times New Roman" w:eastAsia="Times New Roman"/>
        </w:rPr>
        <w:t>3.1</w:t>
        <w:tab/>
        <w:t>2018 </w:t>
      </w:r>
      <w:r>
        <w:rPr/>
        <w:t>年安康市环境空气质量状况统计</w:t>
      </w:r>
    </w:p>
    <w:tbl>
      <w:tblPr>
        <w:tblW w:w="0" w:type="auto"/>
        <w:jc w:val="left"/>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40"/>
        <w:gridCol w:w="2614"/>
        <w:gridCol w:w="1200"/>
        <w:gridCol w:w="1254"/>
        <w:gridCol w:w="1061"/>
        <w:gridCol w:w="1134"/>
      </w:tblGrid>
      <w:tr>
        <w:trPr>
          <w:trHeight w:val="582" w:hRule="atLeast"/>
        </w:trPr>
        <w:tc>
          <w:tcPr>
            <w:tcW w:w="1340" w:type="dxa"/>
            <w:tcBorders>
              <w:left w:val="nil"/>
              <w:right w:val="single" w:sz="4" w:space="0" w:color="000000"/>
            </w:tcBorders>
          </w:tcPr>
          <w:p>
            <w:pPr>
              <w:pStyle w:val="TableParagraph"/>
              <w:spacing w:before="153"/>
              <w:ind w:left="243" w:right="209"/>
              <w:jc w:val="center"/>
              <w:rPr>
                <w:sz w:val="21"/>
              </w:rPr>
            </w:pPr>
            <w:r>
              <w:rPr>
                <w:sz w:val="21"/>
              </w:rPr>
              <w:t>污染物</w:t>
            </w:r>
          </w:p>
        </w:tc>
        <w:tc>
          <w:tcPr>
            <w:tcW w:w="2614" w:type="dxa"/>
            <w:tcBorders>
              <w:left w:val="single" w:sz="4" w:space="0" w:color="000000"/>
              <w:right w:val="single" w:sz="4" w:space="0" w:color="000000"/>
            </w:tcBorders>
          </w:tcPr>
          <w:p>
            <w:pPr>
              <w:pStyle w:val="TableParagraph"/>
              <w:spacing w:before="153"/>
              <w:ind w:left="87" w:right="59"/>
              <w:jc w:val="center"/>
              <w:rPr>
                <w:sz w:val="21"/>
              </w:rPr>
            </w:pPr>
            <w:r>
              <w:rPr>
                <w:sz w:val="21"/>
              </w:rPr>
              <w:t>评价项目</w:t>
            </w:r>
          </w:p>
        </w:tc>
        <w:tc>
          <w:tcPr>
            <w:tcW w:w="1200" w:type="dxa"/>
            <w:tcBorders>
              <w:left w:val="single" w:sz="4" w:space="0" w:color="000000"/>
              <w:right w:val="single" w:sz="4" w:space="0" w:color="000000"/>
            </w:tcBorders>
          </w:tcPr>
          <w:p>
            <w:pPr>
              <w:pStyle w:val="TableParagraph"/>
              <w:spacing w:line="262" w:lineRule="exact" w:before="33"/>
              <w:ind w:left="294"/>
              <w:rPr>
                <w:sz w:val="21"/>
              </w:rPr>
            </w:pPr>
            <w:r>
              <w:rPr>
                <w:w w:val="95"/>
                <w:sz w:val="21"/>
              </w:rPr>
              <w:t>标准值</w:t>
            </w:r>
          </w:p>
          <w:p>
            <w:pPr>
              <w:pStyle w:val="TableParagraph"/>
              <w:spacing w:line="234" w:lineRule="exact"/>
              <w:ind w:left="287"/>
              <w:rPr>
                <w:rFonts w:ascii="Times New Roman" w:hAnsi="Times New Roman"/>
                <w:sz w:val="21"/>
              </w:rPr>
            </w:pPr>
            <w:r>
              <w:rPr>
                <w:rFonts w:ascii="Times New Roman" w:hAnsi="Times New Roman"/>
                <w:sz w:val="21"/>
              </w:rPr>
              <w:t>(μg/m</w:t>
            </w:r>
            <w:r>
              <w:rPr>
                <w:rFonts w:ascii="Times New Roman" w:hAnsi="Times New Roman"/>
                <w:position w:val="7"/>
                <w:sz w:val="13"/>
              </w:rPr>
              <w:t>3</w:t>
            </w:r>
            <w:r>
              <w:rPr>
                <w:rFonts w:ascii="Times New Roman" w:hAnsi="Times New Roman"/>
                <w:sz w:val="21"/>
              </w:rPr>
              <w:t>)</w:t>
            </w:r>
          </w:p>
        </w:tc>
        <w:tc>
          <w:tcPr>
            <w:tcW w:w="1254" w:type="dxa"/>
            <w:tcBorders>
              <w:left w:val="single" w:sz="4" w:space="0" w:color="000000"/>
              <w:right w:val="single" w:sz="4" w:space="0" w:color="000000"/>
            </w:tcBorders>
          </w:tcPr>
          <w:p>
            <w:pPr>
              <w:pStyle w:val="TableParagraph"/>
              <w:spacing w:line="262" w:lineRule="exact" w:before="33"/>
              <w:ind w:left="215"/>
              <w:rPr>
                <w:sz w:val="21"/>
              </w:rPr>
            </w:pPr>
            <w:r>
              <w:rPr>
                <w:sz w:val="21"/>
              </w:rPr>
              <w:t>现状浓度</w:t>
            </w:r>
          </w:p>
          <w:p>
            <w:pPr>
              <w:pStyle w:val="TableParagraph"/>
              <w:spacing w:line="234" w:lineRule="exact"/>
              <w:ind w:left="313"/>
              <w:rPr>
                <w:rFonts w:ascii="Times New Roman" w:hAnsi="Times New Roman"/>
                <w:sz w:val="21"/>
              </w:rPr>
            </w:pPr>
            <w:r>
              <w:rPr>
                <w:rFonts w:ascii="Times New Roman" w:hAnsi="Times New Roman"/>
                <w:sz w:val="21"/>
              </w:rPr>
              <w:t>(μg/m</w:t>
            </w:r>
            <w:r>
              <w:rPr>
                <w:rFonts w:ascii="Times New Roman" w:hAnsi="Times New Roman"/>
                <w:position w:val="7"/>
                <w:sz w:val="13"/>
              </w:rPr>
              <w:t>3</w:t>
            </w:r>
            <w:r>
              <w:rPr>
                <w:rFonts w:ascii="Times New Roman" w:hAnsi="Times New Roman"/>
                <w:sz w:val="21"/>
              </w:rPr>
              <w:t>)</w:t>
            </w:r>
          </w:p>
        </w:tc>
        <w:tc>
          <w:tcPr>
            <w:tcW w:w="1061" w:type="dxa"/>
            <w:tcBorders>
              <w:left w:val="single" w:sz="4" w:space="0" w:color="000000"/>
              <w:right w:val="single" w:sz="4" w:space="0" w:color="000000"/>
            </w:tcBorders>
          </w:tcPr>
          <w:p>
            <w:pPr>
              <w:pStyle w:val="TableParagraph"/>
              <w:spacing w:before="153"/>
              <w:ind w:left="97" w:right="74"/>
              <w:jc w:val="center"/>
              <w:rPr>
                <w:sz w:val="21"/>
              </w:rPr>
            </w:pPr>
            <w:r>
              <w:rPr>
                <w:sz w:val="21"/>
              </w:rPr>
              <w:t>占标率％</w:t>
            </w:r>
          </w:p>
        </w:tc>
        <w:tc>
          <w:tcPr>
            <w:tcW w:w="1134" w:type="dxa"/>
            <w:tcBorders>
              <w:left w:val="single" w:sz="4" w:space="0" w:color="000000"/>
              <w:right w:val="nil"/>
            </w:tcBorders>
          </w:tcPr>
          <w:p>
            <w:pPr>
              <w:pStyle w:val="TableParagraph"/>
              <w:spacing w:before="153"/>
              <w:ind w:left="135" w:right="114"/>
              <w:jc w:val="center"/>
              <w:rPr>
                <w:sz w:val="21"/>
              </w:rPr>
            </w:pPr>
            <w:r>
              <w:rPr>
                <w:sz w:val="21"/>
              </w:rPr>
              <w:t>达标情况</w:t>
            </w:r>
          </w:p>
        </w:tc>
      </w:tr>
      <w:tr>
        <w:trPr>
          <w:trHeight w:val="318" w:hRule="atLeast"/>
        </w:trPr>
        <w:tc>
          <w:tcPr>
            <w:tcW w:w="1340" w:type="dxa"/>
            <w:vMerge w:val="restart"/>
            <w:tcBorders>
              <w:left w:val="nil"/>
              <w:bottom w:val="single" w:sz="4" w:space="0" w:color="000000"/>
              <w:right w:val="single" w:sz="4" w:space="0" w:color="000000"/>
            </w:tcBorders>
          </w:tcPr>
          <w:p>
            <w:pPr>
              <w:pStyle w:val="TableParagraph"/>
              <w:spacing w:line="253" w:lineRule="exact" w:before="79"/>
              <w:ind w:left="264"/>
              <w:rPr>
                <w:sz w:val="21"/>
              </w:rPr>
            </w:pPr>
            <w:r>
              <w:rPr>
                <w:w w:val="95"/>
                <w:sz w:val="21"/>
              </w:rPr>
              <w:t>二氧化硫</w:t>
            </w:r>
          </w:p>
          <w:p>
            <w:pPr>
              <w:pStyle w:val="TableParagraph"/>
              <w:spacing w:line="259" w:lineRule="exact"/>
              <w:ind w:left="305"/>
              <w:rPr>
                <w:sz w:val="21"/>
              </w:rPr>
            </w:pPr>
            <w:r>
              <w:rPr>
                <w:position w:val="2"/>
                <w:sz w:val="21"/>
              </w:rPr>
              <w:t>（</w:t>
            </w:r>
            <w:r>
              <w:rPr>
                <w:rFonts w:ascii="Times New Roman" w:eastAsia="Times New Roman"/>
                <w:position w:val="2"/>
                <w:sz w:val="21"/>
              </w:rPr>
              <w:t>SO</w:t>
            </w:r>
            <w:r>
              <w:rPr>
                <w:rFonts w:ascii="Times New Roman" w:eastAsia="Times New Roman"/>
                <w:position w:val="2"/>
                <w:sz w:val="21"/>
                <w:vertAlign w:val="subscript"/>
              </w:rPr>
              <w:t>2</w:t>
            </w:r>
            <w:r>
              <w:rPr>
                <w:position w:val="2"/>
                <w:sz w:val="21"/>
                <w:vertAlign w:val="baseline"/>
              </w:rPr>
              <w:t>）</w:t>
            </w:r>
          </w:p>
        </w:tc>
        <w:tc>
          <w:tcPr>
            <w:tcW w:w="2614" w:type="dxa"/>
            <w:tcBorders>
              <w:left w:val="single" w:sz="4" w:space="0" w:color="000000"/>
              <w:bottom w:val="single" w:sz="4" w:space="0" w:color="000000"/>
              <w:right w:val="single" w:sz="4" w:space="0" w:color="000000"/>
            </w:tcBorders>
          </w:tcPr>
          <w:p>
            <w:pPr>
              <w:pStyle w:val="TableParagraph"/>
              <w:spacing w:before="21"/>
              <w:ind w:left="87" w:right="61"/>
              <w:jc w:val="center"/>
              <w:rPr>
                <w:sz w:val="21"/>
              </w:rPr>
            </w:pPr>
            <w:r>
              <w:rPr>
                <w:sz w:val="21"/>
              </w:rPr>
              <w:t>年均值</w:t>
            </w:r>
          </w:p>
        </w:tc>
        <w:tc>
          <w:tcPr>
            <w:tcW w:w="1200" w:type="dxa"/>
            <w:tcBorders>
              <w:left w:val="single" w:sz="4" w:space="0" w:color="000000"/>
              <w:bottom w:val="single" w:sz="4" w:space="0" w:color="000000"/>
              <w:right w:val="single" w:sz="4" w:space="0" w:color="000000"/>
            </w:tcBorders>
          </w:tcPr>
          <w:p>
            <w:pPr>
              <w:pStyle w:val="TableParagraph"/>
              <w:spacing w:before="35"/>
              <w:ind w:left="119" w:right="93"/>
              <w:jc w:val="center"/>
              <w:rPr>
                <w:rFonts w:ascii="Times New Roman"/>
                <w:sz w:val="21"/>
              </w:rPr>
            </w:pPr>
            <w:r>
              <w:rPr>
                <w:rFonts w:ascii="Times New Roman"/>
                <w:sz w:val="21"/>
              </w:rPr>
              <w:t>60</w:t>
            </w:r>
          </w:p>
        </w:tc>
        <w:tc>
          <w:tcPr>
            <w:tcW w:w="1254" w:type="dxa"/>
            <w:tcBorders>
              <w:left w:val="single" w:sz="4" w:space="0" w:color="000000"/>
              <w:bottom w:val="single" w:sz="4" w:space="0" w:color="000000"/>
              <w:right w:val="single" w:sz="4" w:space="0" w:color="000000"/>
            </w:tcBorders>
          </w:tcPr>
          <w:p>
            <w:pPr>
              <w:pStyle w:val="TableParagraph"/>
              <w:spacing w:before="35"/>
              <w:ind w:left="137" w:right="107"/>
              <w:jc w:val="center"/>
              <w:rPr>
                <w:rFonts w:ascii="Times New Roman"/>
                <w:sz w:val="21"/>
              </w:rPr>
            </w:pPr>
            <w:r>
              <w:rPr>
                <w:rFonts w:ascii="Times New Roman"/>
                <w:sz w:val="21"/>
              </w:rPr>
              <w:t>14</w:t>
            </w:r>
          </w:p>
        </w:tc>
        <w:tc>
          <w:tcPr>
            <w:tcW w:w="1061" w:type="dxa"/>
            <w:tcBorders>
              <w:left w:val="single" w:sz="4" w:space="0" w:color="000000"/>
              <w:bottom w:val="single" w:sz="4" w:space="0" w:color="000000"/>
              <w:right w:val="single" w:sz="4" w:space="0" w:color="000000"/>
            </w:tcBorders>
          </w:tcPr>
          <w:p>
            <w:pPr>
              <w:pStyle w:val="TableParagraph"/>
              <w:spacing w:before="35"/>
              <w:ind w:left="97" w:right="68"/>
              <w:jc w:val="center"/>
              <w:rPr>
                <w:rFonts w:ascii="Times New Roman"/>
                <w:sz w:val="21"/>
              </w:rPr>
            </w:pPr>
            <w:r>
              <w:rPr>
                <w:rFonts w:ascii="Times New Roman"/>
                <w:sz w:val="21"/>
              </w:rPr>
              <w:t>23</w:t>
            </w:r>
          </w:p>
        </w:tc>
        <w:tc>
          <w:tcPr>
            <w:tcW w:w="1134" w:type="dxa"/>
            <w:tcBorders>
              <w:left w:val="single" w:sz="4" w:space="0" w:color="000000"/>
              <w:bottom w:val="single" w:sz="6" w:space="0" w:color="000000"/>
              <w:right w:val="nil"/>
            </w:tcBorders>
          </w:tcPr>
          <w:p>
            <w:pPr>
              <w:pStyle w:val="TableParagraph"/>
              <w:spacing w:before="21"/>
              <w:ind w:left="133" w:right="114"/>
              <w:jc w:val="center"/>
              <w:rPr>
                <w:sz w:val="21"/>
              </w:rPr>
            </w:pPr>
            <w:r>
              <w:rPr>
                <w:sz w:val="21"/>
              </w:rPr>
              <w:t>达标</w:t>
            </w:r>
          </w:p>
        </w:tc>
      </w:tr>
      <w:tr>
        <w:trPr>
          <w:trHeight w:val="335"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40"/>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98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54"/>
              <w:ind w:left="119" w:right="93"/>
              <w:jc w:val="center"/>
              <w:rPr>
                <w:rFonts w:ascii="Times New Roman"/>
                <w:sz w:val="21"/>
              </w:rPr>
            </w:pPr>
            <w:r>
              <w:rPr>
                <w:rFonts w:ascii="Times New Roman"/>
                <w:sz w:val="21"/>
              </w:rPr>
              <w:t>150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54"/>
              <w:ind w:left="137" w:right="107"/>
              <w:jc w:val="center"/>
              <w:rPr>
                <w:rFonts w:ascii="Times New Roman"/>
                <w:sz w:val="21"/>
              </w:rPr>
            </w:pPr>
            <w:r>
              <w:rPr>
                <w:rFonts w:ascii="Times New Roman"/>
                <w:sz w:val="21"/>
              </w:rPr>
              <w:t>31</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54"/>
              <w:ind w:left="97" w:right="68"/>
              <w:jc w:val="center"/>
              <w:rPr>
                <w:rFonts w:ascii="Times New Roman"/>
                <w:sz w:val="21"/>
              </w:rPr>
            </w:pPr>
            <w:r>
              <w:rPr>
                <w:rFonts w:ascii="Times New Roman"/>
                <w:sz w:val="21"/>
              </w:rPr>
              <w:t>20</w:t>
            </w:r>
          </w:p>
        </w:tc>
        <w:tc>
          <w:tcPr>
            <w:tcW w:w="1134" w:type="dxa"/>
            <w:tcBorders>
              <w:top w:val="single" w:sz="6" w:space="0" w:color="000000"/>
              <w:left w:val="single" w:sz="4" w:space="0" w:color="000000"/>
              <w:bottom w:val="single" w:sz="6" w:space="0" w:color="000000"/>
              <w:right w:val="nil"/>
            </w:tcBorders>
          </w:tcPr>
          <w:p>
            <w:pPr>
              <w:pStyle w:val="TableParagraph"/>
              <w:spacing w:before="40"/>
              <w:ind w:left="133" w:right="114"/>
              <w:jc w:val="center"/>
              <w:rPr>
                <w:sz w:val="21"/>
              </w:rPr>
            </w:pPr>
            <w:r>
              <w:rPr>
                <w:sz w:val="21"/>
              </w:rPr>
              <w:t>达标</w:t>
            </w:r>
          </w:p>
        </w:tc>
      </w:tr>
      <w:tr>
        <w:trPr>
          <w:trHeight w:val="335"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60" w:lineRule="exact" w:before="87"/>
              <w:ind w:left="243" w:right="211"/>
              <w:jc w:val="center"/>
              <w:rPr>
                <w:sz w:val="21"/>
              </w:rPr>
            </w:pPr>
            <w:r>
              <w:rPr>
                <w:sz w:val="21"/>
              </w:rPr>
              <w:t>二氧化氮</w:t>
            </w:r>
          </w:p>
          <w:p>
            <w:pPr>
              <w:pStyle w:val="TableParagraph"/>
              <w:spacing w:line="252" w:lineRule="exact"/>
              <w:ind w:left="243" w:right="207"/>
              <w:jc w:val="center"/>
              <w:rPr>
                <w:rFonts w:ascii="Times New Roman"/>
                <w:sz w:val="21"/>
              </w:rPr>
            </w:pPr>
            <w:r>
              <w:rPr>
                <w:rFonts w:ascii="Times New Roman"/>
                <w:position w:val="2"/>
                <w:sz w:val="21"/>
              </w:rPr>
              <w:t>(NO</w:t>
            </w:r>
            <w:r>
              <w:rPr>
                <w:rFonts w:ascii="Times New Roman"/>
                <w:position w:val="2"/>
                <w:sz w:val="21"/>
                <w:vertAlign w:val="subscript"/>
              </w:rPr>
              <w:t>2</w:t>
            </w:r>
            <w:r>
              <w:rPr>
                <w:rFonts w:ascii="Times New Roman"/>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40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24</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60</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达标</w:t>
            </w:r>
          </w:p>
        </w:tc>
      </w:tr>
      <w:tr>
        <w:trPr>
          <w:trHeight w:val="336"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98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80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58</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72.5</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达标</w:t>
            </w:r>
          </w:p>
        </w:tc>
      </w:tr>
      <w:tr>
        <w:trPr>
          <w:trHeight w:val="336"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16" w:lineRule="auto" w:before="107"/>
              <w:ind w:left="149" w:right="115" w:firstLine="9"/>
              <w:rPr>
                <w:sz w:val="21"/>
              </w:rPr>
            </w:pPr>
            <w:r>
              <w:rPr>
                <w:sz w:val="21"/>
              </w:rPr>
              <w:t>可吸入颗粒</w:t>
            </w:r>
            <w:r>
              <w:rPr>
                <w:position w:val="2"/>
                <w:sz w:val="21"/>
              </w:rPr>
              <w:t>物（</w:t>
            </w:r>
            <w:r>
              <w:rPr>
                <w:rFonts w:ascii="Times New Roman" w:eastAsia="Times New Roman"/>
                <w:position w:val="2"/>
                <w:sz w:val="21"/>
              </w:rPr>
              <w:t>PM</w:t>
            </w:r>
            <w:r>
              <w:rPr>
                <w:rFonts w:ascii="Times New Roman" w:eastAsia="Times New Roman"/>
                <w:position w:val="2"/>
                <w:sz w:val="21"/>
                <w:vertAlign w:val="subscript"/>
              </w:rPr>
              <w:t>10</w:t>
            </w:r>
            <w:r>
              <w:rPr>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3"/>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7"/>
              <w:ind w:left="119" w:right="93"/>
              <w:jc w:val="center"/>
              <w:rPr>
                <w:rFonts w:ascii="Times New Roman"/>
                <w:sz w:val="21"/>
              </w:rPr>
            </w:pPr>
            <w:r>
              <w:rPr>
                <w:rFonts w:ascii="Times New Roman"/>
                <w:sz w:val="21"/>
              </w:rPr>
              <w:t>70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7"/>
              <w:ind w:left="137" w:right="107"/>
              <w:jc w:val="center"/>
              <w:rPr>
                <w:rFonts w:ascii="Times New Roman"/>
                <w:sz w:val="21"/>
              </w:rPr>
            </w:pPr>
            <w:r>
              <w:rPr>
                <w:rFonts w:ascii="Times New Roman"/>
                <w:sz w:val="21"/>
              </w:rPr>
              <w:t>67</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7"/>
              <w:ind w:left="97" w:right="68"/>
              <w:jc w:val="center"/>
              <w:rPr>
                <w:rFonts w:ascii="Times New Roman"/>
                <w:sz w:val="21"/>
              </w:rPr>
            </w:pPr>
            <w:r>
              <w:rPr>
                <w:rFonts w:ascii="Times New Roman"/>
                <w:sz w:val="21"/>
              </w:rPr>
              <w:t>95.7</w:t>
            </w:r>
          </w:p>
        </w:tc>
        <w:tc>
          <w:tcPr>
            <w:tcW w:w="1134" w:type="dxa"/>
            <w:tcBorders>
              <w:top w:val="single" w:sz="6" w:space="0" w:color="000000"/>
              <w:left w:val="single" w:sz="4" w:space="0" w:color="000000"/>
              <w:bottom w:val="single" w:sz="6" w:space="0" w:color="000000"/>
              <w:right w:val="nil"/>
            </w:tcBorders>
          </w:tcPr>
          <w:p>
            <w:pPr>
              <w:pStyle w:val="TableParagraph"/>
              <w:spacing w:before="33"/>
              <w:ind w:left="133" w:right="114"/>
              <w:jc w:val="center"/>
              <w:rPr>
                <w:sz w:val="21"/>
              </w:rPr>
            </w:pPr>
            <w:r>
              <w:rPr>
                <w:sz w:val="21"/>
              </w:rPr>
              <w:t>达标</w:t>
            </w:r>
          </w:p>
        </w:tc>
      </w:tr>
      <w:tr>
        <w:trPr>
          <w:trHeight w:val="336"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3"/>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7"/>
              <w:ind w:left="119" w:right="93"/>
              <w:jc w:val="center"/>
              <w:rPr>
                <w:rFonts w:ascii="Times New Roman"/>
                <w:sz w:val="21"/>
              </w:rPr>
            </w:pPr>
            <w:r>
              <w:rPr>
                <w:rFonts w:ascii="Times New Roman"/>
                <w:sz w:val="21"/>
              </w:rPr>
              <w:t>150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7"/>
              <w:ind w:left="137" w:right="107"/>
              <w:jc w:val="center"/>
              <w:rPr>
                <w:rFonts w:ascii="Times New Roman"/>
                <w:sz w:val="21"/>
              </w:rPr>
            </w:pPr>
            <w:r>
              <w:rPr>
                <w:rFonts w:ascii="Times New Roman"/>
                <w:sz w:val="21"/>
              </w:rPr>
              <w:t>144</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7"/>
              <w:ind w:left="97" w:right="68"/>
              <w:jc w:val="center"/>
              <w:rPr>
                <w:rFonts w:ascii="Times New Roman"/>
                <w:sz w:val="21"/>
              </w:rPr>
            </w:pPr>
            <w:r>
              <w:rPr>
                <w:rFonts w:ascii="Times New Roman"/>
                <w:sz w:val="21"/>
              </w:rPr>
              <w:t>96</w:t>
            </w:r>
          </w:p>
        </w:tc>
        <w:tc>
          <w:tcPr>
            <w:tcW w:w="1134" w:type="dxa"/>
            <w:tcBorders>
              <w:top w:val="single" w:sz="6" w:space="0" w:color="000000"/>
              <w:left w:val="single" w:sz="4" w:space="0" w:color="000000"/>
              <w:bottom w:val="single" w:sz="6" w:space="0" w:color="000000"/>
              <w:right w:val="nil"/>
            </w:tcBorders>
          </w:tcPr>
          <w:p>
            <w:pPr>
              <w:pStyle w:val="TableParagraph"/>
              <w:spacing w:before="33"/>
              <w:ind w:left="133" w:right="114"/>
              <w:jc w:val="center"/>
              <w:rPr>
                <w:sz w:val="21"/>
              </w:rPr>
            </w:pPr>
            <w:r>
              <w:rPr>
                <w:sz w:val="21"/>
              </w:rPr>
              <w:t>达标</w:t>
            </w:r>
          </w:p>
        </w:tc>
      </w:tr>
      <w:tr>
        <w:trPr>
          <w:trHeight w:val="336"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53" w:lineRule="exact" w:before="87"/>
              <w:ind w:left="264"/>
              <w:rPr>
                <w:sz w:val="21"/>
              </w:rPr>
            </w:pPr>
            <w:r>
              <w:rPr>
                <w:w w:val="95"/>
                <w:sz w:val="21"/>
              </w:rPr>
              <w:t>细颗粒物</w:t>
            </w:r>
          </w:p>
          <w:p>
            <w:pPr>
              <w:pStyle w:val="TableParagraph"/>
              <w:spacing w:line="259" w:lineRule="exact"/>
              <w:ind w:left="238"/>
              <w:rPr>
                <w:sz w:val="21"/>
              </w:rPr>
            </w:pPr>
            <w:r>
              <w:rPr>
                <w:position w:val="2"/>
                <w:sz w:val="21"/>
              </w:rPr>
              <w:t>（</w:t>
            </w:r>
            <w:r>
              <w:rPr>
                <w:rFonts w:ascii="Times New Roman" w:eastAsia="Times New Roman"/>
                <w:position w:val="2"/>
                <w:sz w:val="21"/>
              </w:rPr>
              <w:t>PM</w:t>
            </w:r>
            <w:r>
              <w:rPr>
                <w:rFonts w:ascii="Times New Roman" w:eastAsia="Times New Roman"/>
                <w:position w:val="2"/>
                <w:sz w:val="21"/>
                <w:vertAlign w:val="subscript"/>
              </w:rPr>
              <w:t>2.5</w:t>
            </w:r>
            <w:r>
              <w:rPr>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35</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39</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111</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超标</w:t>
            </w:r>
          </w:p>
        </w:tc>
      </w:tr>
      <w:tr>
        <w:trPr>
          <w:trHeight w:val="335"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75</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90</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120</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超标</w:t>
            </w:r>
          </w:p>
        </w:tc>
      </w:tr>
      <w:tr>
        <w:trPr>
          <w:trHeight w:val="480" w:hRule="atLeast"/>
        </w:trPr>
        <w:tc>
          <w:tcPr>
            <w:tcW w:w="1340" w:type="dxa"/>
            <w:tcBorders>
              <w:top w:val="single" w:sz="4" w:space="0" w:color="000000"/>
              <w:left w:val="nil"/>
              <w:bottom w:val="single" w:sz="4" w:space="0" w:color="000000"/>
              <w:right w:val="single" w:sz="4" w:space="0" w:color="000000"/>
            </w:tcBorders>
          </w:tcPr>
          <w:p>
            <w:pPr>
              <w:pStyle w:val="TableParagraph"/>
              <w:spacing w:line="247" w:lineRule="exact"/>
              <w:ind w:left="243" w:right="211"/>
              <w:jc w:val="center"/>
              <w:rPr>
                <w:sz w:val="21"/>
              </w:rPr>
            </w:pPr>
            <w:r>
              <w:rPr>
                <w:sz w:val="21"/>
              </w:rPr>
              <w:t>一氧化碳</w:t>
            </w:r>
          </w:p>
          <w:p>
            <w:pPr>
              <w:pStyle w:val="TableParagraph"/>
              <w:spacing w:line="213" w:lineRule="exact"/>
              <w:ind w:left="243" w:right="211"/>
              <w:jc w:val="center"/>
              <w:rPr>
                <w:rFonts w:ascii="Times New Roman"/>
                <w:sz w:val="21"/>
              </w:rPr>
            </w:pPr>
            <w:r>
              <w:rPr>
                <w:rFonts w:ascii="Times New Roman"/>
                <w:sz w:val="21"/>
              </w:rPr>
              <w:t>(CO)</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05"/>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105"/>
              <w:ind w:left="119" w:right="-15"/>
              <w:jc w:val="center"/>
              <w:rPr>
                <w:sz w:val="21"/>
              </w:rPr>
            </w:pPr>
            <w:r>
              <w:rPr>
                <w:rFonts w:ascii="Times New Roman" w:eastAsia="Times New Roman"/>
                <w:spacing w:val="-1"/>
                <w:sz w:val="21"/>
              </w:rPr>
              <w:t>4</w:t>
            </w:r>
            <w:r>
              <w:rPr>
                <w:spacing w:val="-1"/>
                <w:sz w:val="21"/>
              </w:rPr>
              <w:t>（</w:t>
            </w:r>
            <w:r>
              <w:rPr>
                <w:rFonts w:ascii="Times New Roman" w:eastAsia="Times New Roman"/>
                <w:spacing w:val="-1"/>
                <w:sz w:val="21"/>
              </w:rPr>
              <w:t>mg/m</w:t>
            </w:r>
            <w:r>
              <w:rPr>
                <w:rFonts w:ascii="Times New Roman" w:eastAsia="Times New Roman"/>
                <w:spacing w:val="-1"/>
                <w:position w:val="7"/>
                <w:sz w:val="13"/>
              </w:rPr>
              <w:t>3</w:t>
            </w:r>
            <w:r>
              <w:rPr>
                <w:spacing w:val="-1"/>
                <w:sz w:val="21"/>
              </w:rPr>
              <w:t>）</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119"/>
              <w:ind w:left="138" w:right="107"/>
              <w:jc w:val="center"/>
              <w:rPr>
                <w:rFonts w:ascii="Times New Roman"/>
                <w:sz w:val="21"/>
              </w:rPr>
            </w:pPr>
            <w:r>
              <w:rPr>
                <w:rFonts w:ascii="Times New Roman"/>
                <w:sz w:val="21"/>
              </w:rPr>
              <w:t>1.5(mg/m</w:t>
            </w:r>
            <w:r>
              <w:rPr>
                <w:rFonts w:ascii="Times New Roman"/>
                <w:position w:val="7"/>
                <w:sz w:val="13"/>
              </w:rPr>
              <w:t>3</w:t>
            </w:r>
            <w:r>
              <w:rPr>
                <w:rFonts w:ascii="Times New Roman"/>
                <w:sz w:val="21"/>
              </w:rPr>
              <w:t>)</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119"/>
              <w:ind w:left="97" w:right="68"/>
              <w:jc w:val="center"/>
              <w:rPr>
                <w:rFonts w:ascii="Times New Roman"/>
                <w:sz w:val="21"/>
              </w:rPr>
            </w:pPr>
            <w:r>
              <w:rPr>
                <w:rFonts w:ascii="Times New Roman"/>
                <w:sz w:val="21"/>
              </w:rPr>
              <w:t>37.5</w:t>
            </w:r>
          </w:p>
        </w:tc>
        <w:tc>
          <w:tcPr>
            <w:tcW w:w="1134" w:type="dxa"/>
            <w:tcBorders>
              <w:top w:val="single" w:sz="6" w:space="0" w:color="000000"/>
              <w:left w:val="single" w:sz="4" w:space="0" w:color="000000"/>
              <w:bottom w:val="single" w:sz="6" w:space="0" w:color="000000"/>
              <w:right w:val="nil"/>
            </w:tcBorders>
          </w:tcPr>
          <w:p>
            <w:pPr>
              <w:pStyle w:val="TableParagraph"/>
              <w:spacing w:before="105"/>
              <w:ind w:left="133" w:right="114"/>
              <w:jc w:val="center"/>
              <w:rPr>
                <w:sz w:val="21"/>
              </w:rPr>
            </w:pPr>
            <w:r>
              <w:rPr>
                <w:sz w:val="21"/>
              </w:rPr>
              <w:t>达标</w:t>
            </w:r>
          </w:p>
        </w:tc>
      </w:tr>
      <w:tr>
        <w:trPr>
          <w:trHeight w:val="482" w:hRule="atLeast"/>
        </w:trPr>
        <w:tc>
          <w:tcPr>
            <w:tcW w:w="1340" w:type="dxa"/>
            <w:tcBorders>
              <w:top w:val="single" w:sz="4" w:space="0" w:color="000000"/>
              <w:left w:val="nil"/>
              <w:right w:val="single" w:sz="4" w:space="0" w:color="000000"/>
            </w:tcBorders>
          </w:tcPr>
          <w:p>
            <w:pPr>
              <w:pStyle w:val="TableParagraph"/>
              <w:spacing w:before="102"/>
              <w:ind w:left="243" w:right="209"/>
              <w:jc w:val="center"/>
              <w:rPr>
                <w:rFonts w:ascii="Times New Roman" w:eastAsia="Times New Roman"/>
                <w:sz w:val="21"/>
              </w:rPr>
            </w:pPr>
            <w:r>
              <w:rPr>
                <w:position w:val="2"/>
                <w:sz w:val="21"/>
              </w:rPr>
              <w:t>臭氧</w:t>
            </w:r>
            <w:r>
              <w:rPr>
                <w:rFonts w:ascii="Times New Roman" w:eastAsia="Times New Roman"/>
                <w:position w:val="2"/>
                <w:sz w:val="21"/>
              </w:rPr>
              <w:t>(O</w:t>
            </w:r>
            <w:r>
              <w:rPr>
                <w:rFonts w:ascii="Times New Roman" w:eastAsia="Times New Roman"/>
                <w:position w:val="2"/>
                <w:sz w:val="21"/>
                <w:vertAlign w:val="subscript"/>
              </w:rPr>
              <w:t>3</w:t>
            </w:r>
            <w:r>
              <w:rPr>
                <w:rFonts w:ascii="Times New Roman" w:eastAsia="Times New Roman"/>
                <w:position w:val="2"/>
                <w:sz w:val="21"/>
                <w:vertAlign w:val="baseline"/>
              </w:rPr>
              <w:t>)</w:t>
            </w:r>
          </w:p>
        </w:tc>
        <w:tc>
          <w:tcPr>
            <w:tcW w:w="2614" w:type="dxa"/>
            <w:tcBorders>
              <w:top w:val="single" w:sz="4" w:space="0" w:color="000000"/>
              <w:left w:val="single" w:sz="4" w:space="0" w:color="000000"/>
              <w:right w:val="single" w:sz="4" w:space="0" w:color="000000"/>
            </w:tcBorders>
          </w:tcPr>
          <w:p>
            <w:pPr>
              <w:pStyle w:val="TableParagraph"/>
              <w:spacing w:line="240" w:lineRule="exact"/>
              <w:ind w:left="87" w:right="61"/>
              <w:jc w:val="center"/>
              <w:rPr>
                <w:sz w:val="21"/>
              </w:rPr>
            </w:pPr>
            <w:r>
              <w:rPr>
                <w:sz w:val="21"/>
              </w:rPr>
              <w:t>日最大 </w:t>
            </w:r>
            <w:r>
              <w:rPr>
                <w:rFonts w:ascii="Times New Roman" w:eastAsia="Times New Roman"/>
                <w:sz w:val="21"/>
              </w:rPr>
              <w:t>8 </w:t>
            </w:r>
            <w:r>
              <w:rPr>
                <w:sz w:val="21"/>
              </w:rPr>
              <w:t>小时滑动平均值</w:t>
            </w:r>
          </w:p>
          <w:p>
            <w:pPr>
              <w:pStyle w:val="TableParagraph"/>
              <w:spacing w:line="222" w:lineRule="exact"/>
              <w:ind w:left="87" w:right="61"/>
              <w:jc w:val="center"/>
              <w:rPr>
                <w:sz w:val="21"/>
              </w:rPr>
            </w:pPr>
            <w:r>
              <w:rPr>
                <w:sz w:val="21"/>
              </w:rPr>
              <w:t>第 </w:t>
            </w:r>
            <w:r>
              <w:rPr>
                <w:rFonts w:ascii="Times New Roman" w:eastAsia="Times New Roman"/>
                <w:sz w:val="21"/>
              </w:rPr>
              <w:t>90 </w:t>
            </w:r>
            <w:r>
              <w:rPr>
                <w:sz w:val="21"/>
              </w:rPr>
              <w:t>百分位数</w:t>
            </w:r>
          </w:p>
        </w:tc>
        <w:tc>
          <w:tcPr>
            <w:tcW w:w="1200" w:type="dxa"/>
            <w:tcBorders>
              <w:top w:val="single" w:sz="4" w:space="0" w:color="000000"/>
              <w:left w:val="single" w:sz="4" w:space="0" w:color="000000"/>
              <w:right w:val="single" w:sz="4" w:space="0" w:color="000000"/>
            </w:tcBorders>
          </w:tcPr>
          <w:p>
            <w:pPr>
              <w:pStyle w:val="TableParagraph"/>
              <w:spacing w:before="119"/>
              <w:ind w:left="119" w:right="93"/>
              <w:jc w:val="center"/>
              <w:rPr>
                <w:rFonts w:ascii="Times New Roman"/>
                <w:sz w:val="21"/>
              </w:rPr>
            </w:pPr>
            <w:r>
              <w:rPr>
                <w:rFonts w:ascii="Times New Roman"/>
                <w:sz w:val="21"/>
              </w:rPr>
              <w:t>160</w:t>
            </w:r>
          </w:p>
        </w:tc>
        <w:tc>
          <w:tcPr>
            <w:tcW w:w="1254" w:type="dxa"/>
            <w:tcBorders>
              <w:top w:val="single" w:sz="4" w:space="0" w:color="000000"/>
              <w:left w:val="single" w:sz="4" w:space="0" w:color="000000"/>
              <w:right w:val="single" w:sz="4" w:space="0" w:color="000000"/>
            </w:tcBorders>
          </w:tcPr>
          <w:p>
            <w:pPr>
              <w:pStyle w:val="TableParagraph"/>
              <w:spacing w:before="119"/>
              <w:ind w:left="137" w:right="107"/>
              <w:jc w:val="center"/>
              <w:rPr>
                <w:rFonts w:ascii="Times New Roman"/>
                <w:sz w:val="21"/>
              </w:rPr>
            </w:pPr>
            <w:r>
              <w:rPr>
                <w:rFonts w:ascii="Times New Roman"/>
                <w:sz w:val="21"/>
              </w:rPr>
              <w:t>138</w:t>
            </w:r>
          </w:p>
        </w:tc>
        <w:tc>
          <w:tcPr>
            <w:tcW w:w="1061" w:type="dxa"/>
            <w:tcBorders>
              <w:top w:val="single" w:sz="4" w:space="0" w:color="000000"/>
              <w:left w:val="single" w:sz="4" w:space="0" w:color="000000"/>
              <w:right w:val="single" w:sz="4" w:space="0" w:color="000000"/>
            </w:tcBorders>
          </w:tcPr>
          <w:p>
            <w:pPr>
              <w:pStyle w:val="TableParagraph"/>
              <w:spacing w:before="119"/>
              <w:ind w:left="97" w:right="68"/>
              <w:jc w:val="center"/>
              <w:rPr>
                <w:rFonts w:ascii="Times New Roman"/>
                <w:sz w:val="21"/>
              </w:rPr>
            </w:pPr>
            <w:r>
              <w:rPr>
                <w:rFonts w:ascii="Times New Roman"/>
                <w:sz w:val="21"/>
              </w:rPr>
              <w:t>86</w:t>
            </w:r>
          </w:p>
        </w:tc>
        <w:tc>
          <w:tcPr>
            <w:tcW w:w="1134" w:type="dxa"/>
            <w:tcBorders>
              <w:top w:val="single" w:sz="6" w:space="0" w:color="000000"/>
              <w:left w:val="single" w:sz="4" w:space="0" w:color="000000"/>
              <w:right w:val="nil"/>
            </w:tcBorders>
          </w:tcPr>
          <w:p>
            <w:pPr>
              <w:pStyle w:val="TableParagraph"/>
              <w:spacing w:before="105"/>
              <w:ind w:left="133" w:right="114"/>
              <w:jc w:val="center"/>
              <w:rPr>
                <w:sz w:val="21"/>
              </w:rPr>
            </w:pPr>
            <w:r>
              <w:rPr>
                <w:sz w:val="21"/>
              </w:rPr>
              <w:t>达标</w:t>
            </w:r>
          </w:p>
        </w:tc>
      </w:tr>
    </w:tbl>
    <w:p>
      <w:pPr>
        <w:pStyle w:val="BodyText"/>
        <w:spacing w:line="343" w:lineRule="auto" w:before="110"/>
        <w:ind w:left="335" w:right="251" w:firstLine="480"/>
      </w:pPr>
      <w:r>
        <w:rPr>
          <w:position w:val="2"/>
        </w:rPr>
        <w:t>由以上统计结果可知，六项指标 </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10</w:t>
      </w:r>
      <w:r>
        <w:rPr>
          <w:position w:val="2"/>
          <w:vertAlign w:val="baseline"/>
        </w:rPr>
        <w:t>、</w:t>
      </w:r>
      <w:r>
        <w:rPr>
          <w:rFonts w:ascii="Times New Roman" w:eastAsia="Times New Roman"/>
          <w:position w:val="2"/>
          <w:vertAlign w:val="baseline"/>
        </w:rPr>
        <w:t>CO</w:t>
      </w:r>
      <w:r>
        <w:rPr>
          <w:position w:val="2"/>
          <w:vertAlign w:val="baseline"/>
        </w:rPr>
        <w:t>、</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w:t>
      </w:r>
      <w:r>
        <w:rPr>
          <w:position w:val="2"/>
          <w:vertAlign w:val="baseline"/>
        </w:rPr>
        <w:t>五项指标达标，</w:t>
      </w:r>
      <w:r>
        <w:rPr>
          <w:rFonts w:ascii="Times New Roman" w:eastAsia="Times New Roman"/>
          <w:position w:val="2"/>
          <w:vertAlign w:val="baseline"/>
        </w:rPr>
        <w:t>PM</w:t>
      </w:r>
      <w:r>
        <w:rPr>
          <w:rFonts w:ascii="Times New Roman" w:eastAsia="Times New Roman"/>
          <w:position w:val="2"/>
          <w:vertAlign w:val="subscript"/>
        </w:rPr>
        <w:t>2.5</w:t>
      </w:r>
      <w:r>
        <w:rPr>
          <w:rFonts w:ascii="Times New Roman" w:eastAsia="Times New Roman"/>
          <w:position w:val="2"/>
          <w:vertAlign w:val="baseline"/>
        </w:rPr>
        <w:t> </w:t>
      </w:r>
      <w:r>
        <w:rPr>
          <w:position w:val="2"/>
          <w:vertAlign w:val="baseline"/>
        </w:rPr>
        <w:t>未</w:t>
      </w:r>
      <w:r>
        <w:rPr>
          <w:vertAlign w:val="baseline"/>
        </w:rPr>
        <w:t>达标。故 </w:t>
      </w:r>
      <w:r>
        <w:rPr>
          <w:rFonts w:ascii="Times New Roman" w:eastAsia="Times New Roman"/>
          <w:vertAlign w:val="baseline"/>
        </w:rPr>
        <w:t>2018 </w:t>
      </w:r>
      <w:r>
        <w:rPr>
          <w:vertAlign w:val="baseline"/>
        </w:rPr>
        <w:t>年安康中心城市环境空气质量总体未达到《环境空气质量标准》</w:t>
      </w:r>
    </w:p>
    <w:p>
      <w:pPr>
        <w:pStyle w:val="BodyText"/>
        <w:ind w:left="335"/>
      </w:pPr>
      <w:r>
        <w:rPr/>
        <w:t>（</w:t>
      </w:r>
      <w:r>
        <w:rPr>
          <w:rFonts w:ascii="Times New Roman" w:eastAsia="Times New Roman"/>
        </w:rPr>
        <w:t>GB3095-2012</w:t>
      </w:r>
      <w:r>
        <w:rPr/>
        <w:t>）二级标准。</w:t>
      </w:r>
    </w:p>
    <w:p>
      <w:pPr>
        <w:pStyle w:val="BodyText"/>
        <w:spacing w:line="360" w:lineRule="auto" w:before="148"/>
        <w:ind w:left="335" w:right="311" w:firstLine="480"/>
      </w:pPr>
      <w:r>
        <w:rPr>
          <w:spacing w:val="-9"/>
        </w:rPr>
        <w:t>大气特征因子 </w:t>
      </w:r>
      <w:r>
        <w:rPr>
          <w:rFonts w:ascii="Times New Roman" w:eastAsia="Times New Roman"/>
        </w:rPr>
        <w:t>TSP </w:t>
      </w:r>
      <w:r>
        <w:rPr>
          <w:spacing w:val="-4"/>
        </w:rPr>
        <w:t>监测委托安康市环境保护监测站进行监测，大气监测点位于项目地上、下风向两个监测点，监测时间 </w:t>
      </w:r>
      <w:r>
        <w:rPr>
          <w:rFonts w:ascii="Times New Roman" w:eastAsia="Times New Roman"/>
        </w:rPr>
        <w:t>2019 </w:t>
      </w:r>
      <w:r>
        <w:rPr>
          <w:spacing w:val="-29"/>
        </w:rPr>
        <w:t>年 </w:t>
      </w:r>
      <w:r>
        <w:rPr>
          <w:rFonts w:ascii="Times New Roman" w:eastAsia="Times New Roman"/>
        </w:rPr>
        <w:t>6 </w:t>
      </w:r>
      <w:r>
        <w:rPr>
          <w:spacing w:val="-28"/>
        </w:rPr>
        <w:t>月 </w:t>
      </w:r>
      <w:r>
        <w:rPr>
          <w:rFonts w:ascii="Times New Roman" w:eastAsia="Times New Roman"/>
        </w:rPr>
        <w:t>9 </w:t>
      </w:r>
      <w:r>
        <w:rPr/>
        <w:t>日～</w:t>
      </w:r>
      <w:r>
        <w:rPr>
          <w:rFonts w:ascii="Times New Roman" w:eastAsia="Times New Roman"/>
        </w:rPr>
        <w:t>6 </w:t>
      </w:r>
      <w:r>
        <w:rPr>
          <w:spacing w:val="-29"/>
        </w:rPr>
        <w:t>月 </w:t>
      </w:r>
      <w:r>
        <w:rPr>
          <w:rFonts w:ascii="Times New Roman" w:eastAsia="Times New Roman"/>
        </w:rPr>
        <w:t>15 </w:t>
      </w:r>
      <w:r>
        <w:rPr>
          <w:spacing w:val="-8"/>
        </w:rPr>
        <w:t>日，连续监测 </w:t>
      </w:r>
      <w:r>
        <w:rPr>
          <w:rFonts w:ascii="Times New Roman" w:eastAsia="Times New Roman"/>
        </w:rPr>
        <w:t>7 </w:t>
      </w:r>
      <w:r>
        <w:rPr/>
        <w:t>天，监测结</w:t>
      </w:r>
    </w:p>
    <w:p>
      <w:pPr>
        <w:pStyle w:val="BodyText"/>
        <w:spacing w:line="304" w:lineRule="exact"/>
        <w:ind w:left="335"/>
      </w:pPr>
      <w:r>
        <w:rPr/>
        <w:t>果如表 </w:t>
      </w:r>
      <w:r>
        <w:rPr>
          <w:rFonts w:ascii="Times New Roman" w:eastAsia="Times New Roman"/>
        </w:rPr>
        <w:t>3.2 </w:t>
      </w:r>
      <w:r>
        <w:rPr/>
        <w:t>所示。</w:t>
      </w:r>
    </w:p>
    <w:p>
      <w:pPr>
        <w:pStyle w:val="Heading2"/>
        <w:tabs>
          <w:tab w:pos="1199" w:val="left" w:leader="none"/>
        </w:tabs>
        <w:spacing w:before="154" w:after="24"/>
        <w:ind w:left="0" w:right="203"/>
        <w:jc w:val="center"/>
      </w:pPr>
      <w:r>
        <w:rPr/>
        <w:t>表</w:t>
      </w:r>
      <w:r>
        <w:rPr>
          <w:spacing w:val="-62"/>
        </w:rPr>
        <w:t> </w:t>
      </w:r>
      <w:r>
        <w:rPr>
          <w:rFonts w:ascii="Times New Roman" w:eastAsia="Times New Roman"/>
        </w:rPr>
        <w:t>3.2</w:t>
        <w:tab/>
      </w:r>
      <w:r>
        <w:rPr/>
        <w:t>环境空气质量监测结果</w:t>
      </w:r>
    </w:p>
    <w:tbl>
      <w:tblPr>
        <w:tblW w:w="0" w:type="auto"/>
        <w:jc w:val="left"/>
        <w:tblInd w:w="5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5"/>
        <w:gridCol w:w="1247"/>
        <w:gridCol w:w="1557"/>
        <w:gridCol w:w="1030"/>
        <w:gridCol w:w="1607"/>
        <w:gridCol w:w="2333"/>
      </w:tblGrid>
      <w:tr>
        <w:trPr>
          <w:trHeight w:val="612" w:hRule="atLeast"/>
        </w:trPr>
        <w:tc>
          <w:tcPr>
            <w:tcW w:w="1185" w:type="dxa"/>
            <w:vMerge w:val="restart"/>
            <w:tcBorders>
              <w:left w:val="nil"/>
              <w:right w:val="single" w:sz="6" w:space="0" w:color="000000"/>
            </w:tcBorders>
          </w:tcPr>
          <w:p>
            <w:pPr>
              <w:pStyle w:val="TableParagraph"/>
              <w:rPr>
                <w:b/>
                <w:sz w:val="20"/>
              </w:rPr>
            </w:pPr>
          </w:p>
          <w:p>
            <w:pPr>
              <w:pStyle w:val="TableParagraph"/>
              <w:spacing w:before="8"/>
              <w:rPr>
                <w:b/>
                <w:sz w:val="17"/>
              </w:rPr>
            </w:pPr>
          </w:p>
          <w:p>
            <w:pPr>
              <w:pStyle w:val="TableParagraph"/>
              <w:spacing w:before="1"/>
              <w:ind w:left="392"/>
              <w:rPr>
                <w:b/>
                <w:sz w:val="21"/>
              </w:rPr>
            </w:pPr>
            <w:r>
              <w:rPr>
                <w:b/>
                <w:sz w:val="21"/>
              </w:rPr>
              <w:t>点位</w:t>
            </w:r>
          </w:p>
        </w:tc>
        <w:tc>
          <w:tcPr>
            <w:tcW w:w="1247" w:type="dxa"/>
            <w:vMerge w:val="restart"/>
            <w:tcBorders>
              <w:left w:val="single" w:sz="6" w:space="0" w:color="000000"/>
              <w:right w:val="single" w:sz="6" w:space="0" w:color="000000"/>
            </w:tcBorders>
          </w:tcPr>
          <w:p>
            <w:pPr>
              <w:pStyle w:val="TableParagraph"/>
              <w:rPr>
                <w:b/>
                <w:sz w:val="20"/>
              </w:rPr>
            </w:pPr>
          </w:p>
          <w:p>
            <w:pPr>
              <w:pStyle w:val="TableParagraph"/>
              <w:spacing w:before="8"/>
              <w:rPr>
                <w:b/>
                <w:sz w:val="17"/>
              </w:rPr>
            </w:pPr>
          </w:p>
          <w:p>
            <w:pPr>
              <w:pStyle w:val="TableParagraph"/>
              <w:spacing w:before="1"/>
              <w:ind w:left="416"/>
              <w:rPr>
                <w:b/>
                <w:sz w:val="21"/>
              </w:rPr>
            </w:pPr>
            <w:r>
              <w:rPr>
                <w:b/>
                <w:sz w:val="21"/>
              </w:rPr>
              <w:t>项目</w:t>
            </w:r>
          </w:p>
        </w:tc>
        <w:tc>
          <w:tcPr>
            <w:tcW w:w="4194" w:type="dxa"/>
            <w:gridSpan w:val="3"/>
            <w:tcBorders>
              <w:left w:val="single" w:sz="6" w:space="0" w:color="000000"/>
              <w:bottom w:val="single" w:sz="6" w:space="0" w:color="000000"/>
              <w:right w:val="single" w:sz="6" w:space="0" w:color="000000"/>
            </w:tcBorders>
          </w:tcPr>
          <w:p>
            <w:pPr>
              <w:pStyle w:val="TableParagraph"/>
              <w:spacing w:before="175"/>
              <w:ind w:left="1583" w:right="1555"/>
              <w:jc w:val="center"/>
              <w:rPr>
                <w:b/>
                <w:sz w:val="21"/>
              </w:rPr>
            </w:pPr>
            <w:r>
              <w:rPr>
                <w:rFonts w:ascii="Times New Roman" w:eastAsia="Times New Roman"/>
                <w:b/>
                <w:sz w:val="21"/>
              </w:rPr>
              <w:t>1 </w:t>
            </w:r>
            <w:r>
              <w:rPr>
                <w:b/>
                <w:sz w:val="21"/>
              </w:rPr>
              <w:t>小时平均</w:t>
            </w:r>
          </w:p>
        </w:tc>
        <w:tc>
          <w:tcPr>
            <w:tcW w:w="2333" w:type="dxa"/>
            <w:tcBorders>
              <w:left w:val="single" w:sz="6" w:space="0" w:color="000000"/>
              <w:bottom w:val="single" w:sz="6" w:space="0" w:color="000000"/>
              <w:right w:val="nil"/>
            </w:tcBorders>
          </w:tcPr>
          <w:p>
            <w:pPr>
              <w:pStyle w:val="TableParagraph"/>
              <w:spacing w:before="22"/>
              <w:ind w:left="102" w:right="83"/>
              <w:jc w:val="center"/>
              <w:rPr>
                <w:sz w:val="21"/>
              </w:rPr>
            </w:pPr>
            <w:r>
              <w:rPr>
                <w:sz w:val="21"/>
              </w:rPr>
              <w:t>《环境空气质量标准》</w:t>
            </w:r>
          </w:p>
          <w:p>
            <w:pPr>
              <w:pStyle w:val="TableParagraph"/>
              <w:spacing w:line="259" w:lineRule="exact" w:before="43"/>
              <w:ind w:left="100" w:right="83"/>
              <w:jc w:val="center"/>
              <w:rPr>
                <w:sz w:val="21"/>
              </w:rPr>
            </w:pPr>
            <w:r>
              <w:rPr>
                <w:sz w:val="21"/>
              </w:rPr>
              <w:t>二级标准</w:t>
            </w:r>
          </w:p>
        </w:tc>
      </w:tr>
      <w:tr>
        <w:trPr>
          <w:trHeight w:val="593" w:hRule="atLeast"/>
        </w:trPr>
        <w:tc>
          <w:tcPr>
            <w:tcW w:w="1185" w:type="dxa"/>
            <w:vMerge/>
            <w:tcBorders>
              <w:top w:val="nil"/>
              <w:left w:val="nil"/>
              <w:right w:val="single" w:sz="6" w:space="0" w:color="000000"/>
            </w:tcBorders>
          </w:tcPr>
          <w:p>
            <w:pPr>
              <w:rPr>
                <w:sz w:val="2"/>
                <w:szCs w:val="2"/>
              </w:rPr>
            </w:pPr>
          </w:p>
        </w:tc>
        <w:tc>
          <w:tcPr>
            <w:tcW w:w="1247" w:type="dxa"/>
            <w:vMerge/>
            <w:tcBorders>
              <w:top w:val="nil"/>
              <w:left w:val="single" w:sz="6" w:space="0" w:color="000000"/>
              <w:right w:val="single" w:sz="6" w:space="0" w:color="000000"/>
            </w:tcBorders>
          </w:tcPr>
          <w:p>
            <w:pPr>
              <w:rPr>
                <w:sz w:val="2"/>
                <w:szCs w:val="2"/>
              </w:rPr>
            </w:pPr>
          </w:p>
        </w:tc>
        <w:tc>
          <w:tcPr>
            <w:tcW w:w="1557" w:type="dxa"/>
            <w:tcBorders>
              <w:top w:val="single" w:sz="6" w:space="0" w:color="000000"/>
              <w:left w:val="single" w:sz="6" w:space="0" w:color="000000"/>
              <w:right w:val="single" w:sz="6" w:space="0" w:color="000000"/>
            </w:tcBorders>
          </w:tcPr>
          <w:p>
            <w:pPr>
              <w:pStyle w:val="TableParagraph"/>
              <w:spacing w:before="166"/>
              <w:ind w:left="364"/>
              <w:rPr>
                <w:b/>
                <w:sz w:val="21"/>
              </w:rPr>
            </w:pPr>
            <w:r>
              <w:rPr>
                <w:b/>
                <w:sz w:val="21"/>
              </w:rPr>
              <w:t>浓度范围</w:t>
            </w:r>
          </w:p>
        </w:tc>
        <w:tc>
          <w:tcPr>
            <w:tcW w:w="1030" w:type="dxa"/>
            <w:tcBorders>
              <w:top w:val="single" w:sz="6" w:space="0" w:color="000000"/>
              <w:left w:val="single" w:sz="6" w:space="0" w:color="000000"/>
              <w:right w:val="single" w:sz="6" w:space="0" w:color="000000"/>
            </w:tcBorders>
          </w:tcPr>
          <w:p>
            <w:pPr>
              <w:pStyle w:val="TableParagraph"/>
              <w:spacing w:before="30"/>
              <w:ind w:left="186" w:right="156"/>
              <w:jc w:val="center"/>
              <w:rPr>
                <w:b/>
                <w:sz w:val="21"/>
              </w:rPr>
            </w:pPr>
            <w:r>
              <w:rPr>
                <w:b/>
                <w:sz w:val="21"/>
              </w:rPr>
              <w:t>超标率</w:t>
            </w:r>
          </w:p>
          <w:p>
            <w:pPr>
              <w:pStyle w:val="TableParagraph"/>
              <w:spacing w:line="217" w:lineRule="exact" w:before="56"/>
              <w:ind w:left="186" w:right="154"/>
              <w:jc w:val="center"/>
              <w:rPr>
                <w:rFonts w:ascii="Times New Roman"/>
                <w:b/>
                <w:sz w:val="21"/>
              </w:rPr>
            </w:pPr>
            <w:r>
              <w:rPr>
                <w:rFonts w:ascii="Times New Roman"/>
                <w:b/>
                <w:sz w:val="21"/>
              </w:rPr>
              <w:t>(%)</w:t>
            </w:r>
          </w:p>
        </w:tc>
        <w:tc>
          <w:tcPr>
            <w:tcW w:w="1607" w:type="dxa"/>
            <w:tcBorders>
              <w:top w:val="single" w:sz="6" w:space="0" w:color="000000"/>
              <w:left w:val="single" w:sz="6" w:space="0" w:color="000000"/>
              <w:right w:val="single" w:sz="6" w:space="0" w:color="000000"/>
            </w:tcBorders>
          </w:tcPr>
          <w:p>
            <w:pPr>
              <w:pStyle w:val="TableParagraph"/>
              <w:spacing w:before="166"/>
              <w:ind w:left="159" w:right="128"/>
              <w:jc w:val="center"/>
              <w:rPr>
                <w:b/>
                <w:sz w:val="21"/>
              </w:rPr>
            </w:pPr>
            <w:r>
              <w:rPr>
                <w:b/>
                <w:sz w:val="21"/>
              </w:rPr>
              <w:t>最大超标倍数</w:t>
            </w:r>
          </w:p>
        </w:tc>
        <w:tc>
          <w:tcPr>
            <w:tcW w:w="2333" w:type="dxa"/>
            <w:tcBorders>
              <w:top w:val="single" w:sz="6" w:space="0" w:color="000000"/>
              <w:left w:val="single" w:sz="6" w:space="0" w:color="000000"/>
              <w:right w:val="nil"/>
            </w:tcBorders>
          </w:tcPr>
          <w:p>
            <w:pPr>
              <w:pStyle w:val="TableParagraph"/>
              <w:spacing w:before="166"/>
              <w:ind w:left="102" w:right="78"/>
              <w:jc w:val="center"/>
              <w:rPr>
                <w:b/>
                <w:sz w:val="21"/>
              </w:rPr>
            </w:pPr>
            <w:r>
              <w:rPr>
                <w:rFonts w:ascii="Times New Roman" w:eastAsia="Times New Roman"/>
                <w:b/>
                <w:sz w:val="21"/>
              </w:rPr>
              <w:t>24 </w:t>
            </w:r>
            <w:r>
              <w:rPr>
                <w:b/>
                <w:sz w:val="21"/>
              </w:rPr>
              <w:t>小时平均</w:t>
            </w:r>
          </w:p>
        </w:tc>
      </w:tr>
      <w:tr>
        <w:trPr>
          <w:trHeight w:val="643" w:hRule="atLeast"/>
        </w:trPr>
        <w:tc>
          <w:tcPr>
            <w:tcW w:w="1185" w:type="dxa"/>
            <w:tcBorders>
              <w:left w:val="nil"/>
              <w:bottom w:val="single" w:sz="6" w:space="0" w:color="000000"/>
              <w:right w:val="single" w:sz="6" w:space="0" w:color="000000"/>
            </w:tcBorders>
          </w:tcPr>
          <w:p>
            <w:pPr>
              <w:pStyle w:val="TableParagraph"/>
              <w:spacing w:before="7"/>
              <w:rPr>
                <w:b/>
                <w:sz w:val="14"/>
              </w:rPr>
            </w:pPr>
          </w:p>
          <w:p>
            <w:pPr>
              <w:pStyle w:val="TableParagraph"/>
              <w:ind w:right="82"/>
              <w:jc w:val="right"/>
              <w:rPr>
                <w:sz w:val="21"/>
              </w:rPr>
            </w:pPr>
            <w:r>
              <w:rPr>
                <w:w w:val="95"/>
                <w:sz w:val="21"/>
              </w:rPr>
              <w:t>场区上风向</w:t>
            </w:r>
          </w:p>
        </w:tc>
        <w:tc>
          <w:tcPr>
            <w:tcW w:w="1247" w:type="dxa"/>
            <w:tcBorders>
              <w:left w:val="single" w:sz="6" w:space="0" w:color="000000"/>
              <w:bottom w:val="single" w:sz="6" w:space="0" w:color="000000"/>
              <w:right w:val="single" w:sz="6" w:space="0" w:color="000000"/>
            </w:tcBorders>
          </w:tcPr>
          <w:p>
            <w:pPr>
              <w:pStyle w:val="TableParagraph"/>
              <w:spacing w:before="8"/>
              <w:rPr>
                <w:b/>
                <w:sz w:val="15"/>
              </w:rPr>
            </w:pPr>
          </w:p>
          <w:p>
            <w:pPr>
              <w:pStyle w:val="TableParagraph"/>
              <w:ind w:left="436" w:right="393"/>
              <w:jc w:val="center"/>
              <w:rPr>
                <w:rFonts w:ascii="Times New Roman"/>
                <w:sz w:val="21"/>
              </w:rPr>
            </w:pPr>
            <w:r>
              <w:rPr>
                <w:rFonts w:ascii="Times New Roman"/>
                <w:sz w:val="21"/>
              </w:rPr>
              <w:t>TSP</w:t>
            </w:r>
          </w:p>
        </w:tc>
        <w:tc>
          <w:tcPr>
            <w:tcW w:w="1557" w:type="dxa"/>
            <w:tcBorders>
              <w:left w:val="single" w:sz="6" w:space="0" w:color="000000"/>
              <w:bottom w:val="single" w:sz="6" w:space="0" w:color="000000"/>
              <w:right w:val="single" w:sz="6" w:space="0" w:color="000000"/>
            </w:tcBorders>
          </w:tcPr>
          <w:p>
            <w:pPr>
              <w:pStyle w:val="TableParagraph"/>
              <w:spacing w:before="44"/>
              <w:ind w:left="243" w:right="200"/>
              <w:jc w:val="center"/>
              <w:rPr>
                <w:rFonts w:ascii="Times New Roman"/>
                <w:sz w:val="21"/>
              </w:rPr>
            </w:pPr>
            <w:r>
              <w:rPr>
                <w:rFonts w:ascii="Times New Roman"/>
                <w:sz w:val="21"/>
              </w:rPr>
              <w:t>0.173~0.182</w:t>
            </w:r>
          </w:p>
          <w:p>
            <w:pPr>
              <w:pStyle w:val="TableParagraph"/>
              <w:spacing w:before="71"/>
              <w:ind w:left="241" w:right="200"/>
              <w:jc w:val="center"/>
              <w:rPr>
                <w:rFonts w:ascii="Times New Roman"/>
                <w:sz w:val="13"/>
              </w:rPr>
            </w:pPr>
            <w:r>
              <w:rPr>
                <w:rFonts w:ascii="Times New Roman"/>
                <w:sz w:val="21"/>
              </w:rPr>
              <w:t>mg/ m</w:t>
            </w:r>
            <w:r>
              <w:rPr>
                <w:rFonts w:ascii="Times New Roman"/>
                <w:position w:val="7"/>
                <w:sz w:val="13"/>
              </w:rPr>
              <w:t>3</w:t>
            </w:r>
          </w:p>
        </w:tc>
        <w:tc>
          <w:tcPr>
            <w:tcW w:w="1030" w:type="dxa"/>
            <w:tcBorders>
              <w:left w:val="single" w:sz="6" w:space="0" w:color="000000"/>
              <w:bottom w:val="single" w:sz="6" w:space="0" w:color="000000"/>
              <w:right w:val="single" w:sz="6" w:space="0" w:color="000000"/>
            </w:tcBorders>
          </w:tcPr>
          <w:p>
            <w:pPr>
              <w:pStyle w:val="TableParagraph"/>
              <w:spacing w:before="8"/>
              <w:rPr>
                <w:b/>
                <w:sz w:val="15"/>
              </w:rPr>
            </w:pPr>
          </w:p>
          <w:p>
            <w:pPr>
              <w:pStyle w:val="TableParagraph"/>
              <w:ind w:left="41"/>
              <w:jc w:val="center"/>
              <w:rPr>
                <w:rFonts w:ascii="Times New Roman"/>
                <w:sz w:val="21"/>
              </w:rPr>
            </w:pPr>
            <w:r>
              <w:rPr>
                <w:rFonts w:ascii="Times New Roman"/>
                <w:w w:val="99"/>
                <w:sz w:val="21"/>
              </w:rPr>
              <w:t>0</w:t>
            </w:r>
          </w:p>
        </w:tc>
        <w:tc>
          <w:tcPr>
            <w:tcW w:w="1607" w:type="dxa"/>
            <w:tcBorders>
              <w:left w:val="single" w:sz="6" w:space="0" w:color="000000"/>
              <w:bottom w:val="single" w:sz="6" w:space="0" w:color="000000"/>
              <w:right w:val="single" w:sz="6" w:space="0" w:color="000000"/>
            </w:tcBorders>
          </w:tcPr>
          <w:p>
            <w:pPr>
              <w:pStyle w:val="TableParagraph"/>
              <w:spacing w:before="8"/>
              <w:rPr>
                <w:b/>
                <w:sz w:val="15"/>
              </w:rPr>
            </w:pPr>
          </w:p>
          <w:p>
            <w:pPr>
              <w:pStyle w:val="TableParagraph"/>
              <w:ind w:left="39"/>
              <w:jc w:val="center"/>
              <w:rPr>
                <w:rFonts w:ascii="Times New Roman"/>
                <w:sz w:val="21"/>
              </w:rPr>
            </w:pPr>
            <w:r>
              <w:rPr>
                <w:rFonts w:ascii="Times New Roman"/>
                <w:w w:val="99"/>
                <w:sz w:val="21"/>
              </w:rPr>
              <w:t>0</w:t>
            </w:r>
          </w:p>
        </w:tc>
        <w:tc>
          <w:tcPr>
            <w:tcW w:w="2333" w:type="dxa"/>
            <w:tcBorders>
              <w:left w:val="single" w:sz="6" w:space="0" w:color="000000"/>
              <w:bottom w:val="single" w:sz="6" w:space="0" w:color="000000"/>
              <w:right w:val="nil"/>
            </w:tcBorders>
          </w:tcPr>
          <w:p>
            <w:pPr>
              <w:pStyle w:val="TableParagraph"/>
              <w:spacing w:before="200"/>
              <w:ind w:left="102" w:right="67"/>
              <w:jc w:val="center"/>
              <w:rPr>
                <w:rFonts w:ascii="Times New Roman"/>
                <w:sz w:val="13"/>
              </w:rPr>
            </w:pPr>
            <w:r>
              <w:rPr>
                <w:rFonts w:ascii="Times New Roman"/>
                <w:sz w:val="21"/>
              </w:rPr>
              <w:t>0.3mg/m</w:t>
            </w:r>
            <w:r>
              <w:rPr>
                <w:rFonts w:ascii="Times New Roman"/>
                <w:position w:val="7"/>
                <w:sz w:val="13"/>
              </w:rPr>
              <w:t>3</w:t>
            </w:r>
          </w:p>
        </w:tc>
      </w:tr>
      <w:tr>
        <w:trPr>
          <w:trHeight w:val="623" w:hRule="atLeast"/>
        </w:trPr>
        <w:tc>
          <w:tcPr>
            <w:tcW w:w="1185" w:type="dxa"/>
            <w:tcBorders>
              <w:top w:val="single" w:sz="6" w:space="0" w:color="000000"/>
              <w:left w:val="nil"/>
              <w:right w:val="single" w:sz="6" w:space="0" w:color="000000"/>
            </w:tcBorders>
          </w:tcPr>
          <w:p>
            <w:pPr>
              <w:pStyle w:val="TableParagraph"/>
              <w:spacing w:before="176"/>
              <w:ind w:right="82"/>
              <w:jc w:val="right"/>
              <w:rPr>
                <w:sz w:val="21"/>
              </w:rPr>
            </w:pPr>
            <w:r>
              <w:rPr>
                <w:w w:val="95"/>
                <w:sz w:val="21"/>
              </w:rPr>
              <w:t>场区下风向</w:t>
            </w:r>
          </w:p>
        </w:tc>
        <w:tc>
          <w:tcPr>
            <w:tcW w:w="1247" w:type="dxa"/>
            <w:tcBorders>
              <w:top w:val="single" w:sz="6" w:space="0" w:color="000000"/>
              <w:left w:val="single" w:sz="6" w:space="0" w:color="000000"/>
              <w:right w:val="single" w:sz="6" w:space="0" w:color="000000"/>
            </w:tcBorders>
          </w:tcPr>
          <w:p>
            <w:pPr>
              <w:pStyle w:val="TableParagraph"/>
              <w:spacing w:before="190"/>
              <w:ind w:left="436" w:right="393"/>
              <w:jc w:val="center"/>
              <w:rPr>
                <w:rFonts w:ascii="Times New Roman"/>
                <w:sz w:val="21"/>
              </w:rPr>
            </w:pPr>
            <w:r>
              <w:rPr>
                <w:rFonts w:ascii="Times New Roman"/>
                <w:sz w:val="21"/>
              </w:rPr>
              <w:t>TSP</w:t>
            </w:r>
          </w:p>
        </w:tc>
        <w:tc>
          <w:tcPr>
            <w:tcW w:w="1557" w:type="dxa"/>
            <w:tcBorders>
              <w:top w:val="single" w:sz="6" w:space="0" w:color="000000"/>
              <w:left w:val="single" w:sz="6" w:space="0" w:color="000000"/>
              <w:right w:val="single" w:sz="6" w:space="0" w:color="000000"/>
            </w:tcBorders>
          </w:tcPr>
          <w:p>
            <w:pPr>
              <w:pStyle w:val="TableParagraph"/>
              <w:spacing w:before="34"/>
              <w:ind w:left="243" w:right="200"/>
              <w:jc w:val="center"/>
              <w:rPr>
                <w:rFonts w:ascii="Times New Roman"/>
                <w:sz w:val="21"/>
              </w:rPr>
            </w:pPr>
            <w:r>
              <w:rPr>
                <w:rFonts w:ascii="Times New Roman"/>
                <w:sz w:val="21"/>
              </w:rPr>
              <w:t>0.180~0.192</w:t>
            </w:r>
          </w:p>
          <w:p>
            <w:pPr>
              <w:pStyle w:val="TableParagraph"/>
              <w:spacing w:before="70"/>
              <w:ind w:left="241" w:right="200"/>
              <w:jc w:val="center"/>
              <w:rPr>
                <w:rFonts w:ascii="Times New Roman"/>
                <w:sz w:val="13"/>
              </w:rPr>
            </w:pPr>
            <w:r>
              <w:rPr>
                <w:rFonts w:ascii="Times New Roman"/>
                <w:sz w:val="21"/>
              </w:rPr>
              <w:t>mg/ m</w:t>
            </w:r>
            <w:r>
              <w:rPr>
                <w:rFonts w:ascii="Times New Roman"/>
                <w:position w:val="7"/>
                <w:sz w:val="13"/>
              </w:rPr>
              <w:t>3</w:t>
            </w:r>
          </w:p>
        </w:tc>
        <w:tc>
          <w:tcPr>
            <w:tcW w:w="1030" w:type="dxa"/>
            <w:tcBorders>
              <w:top w:val="single" w:sz="6" w:space="0" w:color="000000"/>
              <w:left w:val="single" w:sz="6" w:space="0" w:color="000000"/>
              <w:right w:val="single" w:sz="6" w:space="0" w:color="000000"/>
            </w:tcBorders>
          </w:tcPr>
          <w:p>
            <w:pPr>
              <w:pStyle w:val="TableParagraph"/>
              <w:spacing w:before="190"/>
              <w:ind w:left="41"/>
              <w:jc w:val="center"/>
              <w:rPr>
                <w:rFonts w:ascii="Times New Roman"/>
                <w:sz w:val="21"/>
              </w:rPr>
            </w:pPr>
            <w:r>
              <w:rPr>
                <w:rFonts w:ascii="Times New Roman"/>
                <w:w w:val="99"/>
                <w:sz w:val="21"/>
              </w:rPr>
              <w:t>0</w:t>
            </w:r>
          </w:p>
        </w:tc>
        <w:tc>
          <w:tcPr>
            <w:tcW w:w="1607" w:type="dxa"/>
            <w:tcBorders>
              <w:top w:val="single" w:sz="6" w:space="0" w:color="000000"/>
              <w:left w:val="single" w:sz="6" w:space="0" w:color="000000"/>
              <w:right w:val="single" w:sz="6" w:space="0" w:color="000000"/>
            </w:tcBorders>
          </w:tcPr>
          <w:p>
            <w:pPr>
              <w:pStyle w:val="TableParagraph"/>
              <w:spacing w:before="190"/>
              <w:ind w:left="39"/>
              <w:jc w:val="center"/>
              <w:rPr>
                <w:rFonts w:ascii="Times New Roman"/>
                <w:sz w:val="21"/>
              </w:rPr>
            </w:pPr>
            <w:r>
              <w:rPr>
                <w:rFonts w:ascii="Times New Roman"/>
                <w:w w:val="99"/>
                <w:sz w:val="21"/>
              </w:rPr>
              <w:t>0</w:t>
            </w:r>
          </w:p>
        </w:tc>
        <w:tc>
          <w:tcPr>
            <w:tcW w:w="2333" w:type="dxa"/>
            <w:tcBorders>
              <w:top w:val="single" w:sz="6" w:space="0" w:color="000000"/>
              <w:left w:val="single" w:sz="6" w:space="0" w:color="000000"/>
              <w:right w:val="nil"/>
            </w:tcBorders>
          </w:tcPr>
          <w:p>
            <w:pPr>
              <w:pStyle w:val="TableParagraph"/>
              <w:spacing w:before="190"/>
              <w:ind w:left="102" w:right="67"/>
              <w:jc w:val="center"/>
              <w:rPr>
                <w:rFonts w:ascii="Times New Roman"/>
                <w:sz w:val="13"/>
              </w:rPr>
            </w:pPr>
            <w:r>
              <w:rPr>
                <w:rFonts w:ascii="Times New Roman"/>
                <w:sz w:val="21"/>
              </w:rPr>
              <w:t>0.3mg/m</w:t>
            </w:r>
            <w:r>
              <w:rPr>
                <w:rFonts w:ascii="Times New Roman"/>
                <w:position w:val="7"/>
                <w:sz w:val="13"/>
              </w:rPr>
              <w:t>3</w:t>
            </w:r>
          </w:p>
        </w:tc>
      </w:tr>
    </w:tbl>
    <w:p>
      <w:pPr>
        <w:pStyle w:val="ListParagraph"/>
        <w:numPr>
          <w:ilvl w:val="2"/>
          <w:numId w:val="9"/>
        </w:numPr>
        <w:tabs>
          <w:tab w:pos="1356" w:val="left" w:leader="none"/>
        </w:tabs>
        <w:spacing w:line="240" w:lineRule="auto" w:before="129" w:after="0"/>
        <w:ind w:left="1356" w:right="0" w:hanging="540"/>
        <w:jc w:val="left"/>
        <w:rPr>
          <w:sz w:val="24"/>
        </w:rPr>
      </w:pPr>
      <w:r>
        <w:rPr>
          <w:sz w:val="24"/>
        </w:rPr>
        <w:t>地表水环境质量现状</w:t>
      </w:r>
    </w:p>
    <w:p>
      <w:pPr>
        <w:pStyle w:val="BodyText"/>
        <w:spacing w:before="153"/>
        <w:ind w:left="816"/>
      </w:pPr>
      <w:r>
        <w:rPr/>
        <w:t>本项目生产过程中无生产废水产生，无污废水排放，因此不进行地表水环境质量监测。</w:t>
      </w:r>
    </w:p>
    <w:p>
      <w:pPr>
        <w:spacing w:after="0"/>
        <w:sectPr>
          <w:pgSz w:w="11910" w:h="16840"/>
          <w:pgMar w:header="0" w:footer="770" w:top="1380" w:bottom="1040" w:left="1020" w:right="880"/>
        </w:sectPr>
      </w:pPr>
    </w:p>
    <w:p>
      <w:pPr>
        <w:pStyle w:val="ListParagraph"/>
        <w:numPr>
          <w:ilvl w:val="2"/>
          <w:numId w:val="9"/>
        </w:numPr>
        <w:tabs>
          <w:tab w:pos="876" w:val="left" w:leader="none"/>
        </w:tabs>
        <w:spacing w:line="240" w:lineRule="auto" w:before="147" w:after="0"/>
        <w:ind w:left="876" w:right="0" w:hanging="541"/>
        <w:jc w:val="left"/>
        <w:rPr>
          <w:sz w:val="24"/>
        </w:rPr>
      </w:pPr>
      <w:r>
        <w:rPr/>
        <w:pict>
          <v:shape style="position:absolute;margin-left:62.110001pt;margin-top:70.010010pt;width:479.15pt;height:709.6pt;mso-position-horizontal-relative:page;mso-position-vertical-relative:page;z-index:-256983040" coordorigin="1242,1400" coordsize="9583,14192" path="m1242,1252l10825,1252m1242,8992l10825,8992m1242,15439l10825,15439m1247,1247l1247,15434m10820,1247l10820,15434e" filled="false" stroked="true" strokeweight=".48pt" strokecolor="#000000">
            <v:path arrowok="t"/>
            <v:stroke dashstyle="solid"/>
            <w10:wrap type="none"/>
          </v:shape>
        </w:pict>
      </w:r>
      <w:r>
        <w:rPr>
          <w:sz w:val="24"/>
        </w:rPr>
        <w:t>声环境现状</w:t>
      </w:r>
    </w:p>
    <w:p>
      <w:pPr>
        <w:pStyle w:val="BodyText"/>
        <w:spacing w:line="360" w:lineRule="auto" w:before="153"/>
        <w:ind w:left="335" w:right="310" w:firstLine="480"/>
        <w:jc w:val="both"/>
      </w:pPr>
      <w:r>
        <w:rPr>
          <w:spacing w:val="-3"/>
        </w:rPr>
        <w:t>声环境质量现状调查委托安康市环境保护监测站于 </w:t>
      </w: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10 </w:t>
      </w:r>
      <w:r>
        <w:rPr>
          <w:spacing w:val="-3"/>
        </w:rPr>
        <w:t>日对项目矿区东、</w:t>
      </w:r>
      <w:r>
        <w:rPr>
          <w:spacing w:val="-4"/>
        </w:rPr>
        <w:t>南、西、北四边界及周围敏感点处昼夜间噪声进行了监测。监测结果表明，矿区四场界及</w:t>
      </w:r>
      <w:r>
        <w:rPr>
          <w:spacing w:val="-5"/>
        </w:rPr>
        <w:t>敏感点处声环境昼间、夜间均达到《声环境质量标准》</w:t>
      </w:r>
      <w:r>
        <w:rPr/>
        <w:t>（</w:t>
      </w:r>
      <w:r>
        <w:rPr>
          <w:rFonts w:ascii="Times New Roman" w:eastAsia="Times New Roman"/>
        </w:rPr>
        <w:t>GB3096-2008</w:t>
      </w:r>
      <w:r>
        <w:rPr/>
        <w:t>）</w:t>
      </w:r>
      <w:r>
        <w:rPr>
          <w:rFonts w:ascii="Times New Roman" w:eastAsia="Times New Roman"/>
        </w:rPr>
        <w:t>2 </w:t>
      </w:r>
      <w:r>
        <w:rPr>
          <w:spacing w:val="-2"/>
        </w:rPr>
        <w:t>类标准要求，噪</w:t>
      </w:r>
      <w:r>
        <w:rPr>
          <w:spacing w:val="-7"/>
        </w:rPr>
        <w:t>声监测结果详见表 </w:t>
      </w:r>
      <w:r>
        <w:rPr>
          <w:rFonts w:ascii="Times New Roman" w:eastAsia="Times New Roman"/>
        </w:rPr>
        <w:t>3.3</w:t>
      </w:r>
      <w:r>
        <w:rPr/>
        <w:t>。</w:t>
      </w:r>
    </w:p>
    <w:p>
      <w:pPr>
        <w:tabs>
          <w:tab w:pos="6832" w:val="left" w:leader="none"/>
        </w:tabs>
        <w:spacing w:before="27" w:after="31"/>
        <w:ind w:left="2625" w:right="0" w:firstLine="0"/>
        <w:jc w:val="both"/>
        <w:rPr>
          <w:rFonts w:ascii="Times New Roman" w:eastAsia="Times New Roman"/>
          <w:b/>
          <w:sz w:val="21"/>
        </w:rPr>
      </w:pPr>
      <w:r>
        <w:rPr>
          <w:b/>
          <w:sz w:val="24"/>
        </w:rPr>
        <w:t>表</w:t>
      </w:r>
      <w:r>
        <w:rPr>
          <w:b/>
          <w:spacing w:val="-62"/>
          <w:sz w:val="24"/>
        </w:rPr>
        <w:t> </w:t>
      </w:r>
      <w:r>
        <w:rPr>
          <w:rFonts w:ascii="Times New Roman" w:eastAsia="Times New Roman"/>
          <w:b/>
          <w:sz w:val="24"/>
        </w:rPr>
        <w:t>3.3  </w:t>
      </w:r>
      <w:r>
        <w:rPr>
          <w:rFonts w:ascii="Times New Roman" w:eastAsia="Times New Roman"/>
          <w:b/>
          <w:spacing w:val="59"/>
          <w:sz w:val="24"/>
        </w:rPr>
        <w:t> </w:t>
      </w:r>
      <w:r>
        <w:rPr>
          <w:b/>
          <w:sz w:val="24"/>
        </w:rPr>
        <w:t>环境噪声监测结果</w:t>
        <w:tab/>
      </w:r>
      <w:r>
        <w:rPr>
          <w:b/>
          <w:sz w:val="21"/>
        </w:rPr>
        <w:t>单位：</w:t>
      </w:r>
      <w:r>
        <w:rPr>
          <w:rFonts w:ascii="Times New Roman" w:eastAsia="Times New Roman"/>
          <w:b/>
          <w:sz w:val="21"/>
        </w:rPr>
        <w:t>dB(A)</w:t>
      </w:r>
    </w:p>
    <w:tbl>
      <w:tblPr>
        <w:tblW w:w="0" w:type="auto"/>
        <w:jc w:val="left"/>
        <w:tblInd w:w="8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56"/>
        <w:gridCol w:w="2940"/>
        <w:gridCol w:w="2167"/>
        <w:gridCol w:w="2272"/>
      </w:tblGrid>
      <w:tr>
        <w:trPr>
          <w:trHeight w:val="310" w:hRule="atLeast"/>
        </w:trPr>
        <w:tc>
          <w:tcPr>
            <w:tcW w:w="956" w:type="dxa"/>
            <w:vMerge w:val="restart"/>
            <w:tcBorders>
              <w:left w:val="nil"/>
              <w:right w:val="single" w:sz="4" w:space="0" w:color="000000"/>
            </w:tcBorders>
          </w:tcPr>
          <w:p>
            <w:pPr>
              <w:pStyle w:val="TableParagraph"/>
              <w:spacing w:before="10"/>
              <w:rPr>
                <w:rFonts w:ascii="Times New Roman"/>
                <w:b/>
                <w:sz w:val="15"/>
              </w:rPr>
            </w:pPr>
          </w:p>
          <w:p>
            <w:pPr>
              <w:pStyle w:val="TableParagraph"/>
              <w:ind w:left="282"/>
              <w:rPr>
                <w:b/>
                <w:sz w:val="21"/>
              </w:rPr>
            </w:pPr>
            <w:r>
              <w:rPr>
                <w:b/>
                <w:sz w:val="21"/>
              </w:rPr>
              <w:t>序号</w:t>
            </w:r>
          </w:p>
        </w:tc>
        <w:tc>
          <w:tcPr>
            <w:tcW w:w="2940" w:type="dxa"/>
            <w:vMerge w:val="restart"/>
            <w:tcBorders>
              <w:left w:val="single" w:sz="4" w:space="0" w:color="000000"/>
              <w:right w:val="single" w:sz="4" w:space="0" w:color="000000"/>
            </w:tcBorders>
          </w:tcPr>
          <w:p>
            <w:pPr>
              <w:pStyle w:val="TableParagraph"/>
              <w:spacing w:before="10"/>
              <w:rPr>
                <w:rFonts w:ascii="Times New Roman"/>
                <w:b/>
                <w:sz w:val="15"/>
              </w:rPr>
            </w:pPr>
          </w:p>
          <w:p>
            <w:pPr>
              <w:pStyle w:val="TableParagraph"/>
              <w:ind w:left="1248" w:right="1219"/>
              <w:jc w:val="center"/>
              <w:rPr>
                <w:b/>
                <w:sz w:val="21"/>
              </w:rPr>
            </w:pPr>
            <w:r>
              <w:rPr>
                <w:b/>
                <w:sz w:val="21"/>
              </w:rPr>
              <w:t>方位</w:t>
            </w:r>
          </w:p>
        </w:tc>
        <w:tc>
          <w:tcPr>
            <w:tcW w:w="4439" w:type="dxa"/>
            <w:gridSpan w:val="2"/>
            <w:tcBorders>
              <w:left w:val="single" w:sz="4" w:space="0" w:color="000000"/>
              <w:right w:val="nil"/>
            </w:tcBorders>
          </w:tcPr>
          <w:p>
            <w:pPr>
              <w:pStyle w:val="TableParagraph"/>
              <w:spacing w:before="7"/>
              <w:ind w:left="1524" w:right="1501"/>
              <w:jc w:val="center"/>
              <w:rPr>
                <w:b/>
                <w:sz w:val="21"/>
              </w:rPr>
            </w:pPr>
            <w:r>
              <w:rPr>
                <w:rFonts w:ascii="Times New Roman" w:eastAsia="Times New Roman"/>
                <w:b/>
                <w:sz w:val="21"/>
              </w:rPr>
              <w:t>2019</w:t>
            </w:r>
            <w:r>
              <w:rPr>
                <w:b/>
                <w:sz w:val="21"/>
              </w:rPr>
              <w:t>年</w:t>
            </w:r>
            <w:r>
              <w:rPr>
                <w:rFonts w:ascii="Times New Roman" w:eastAsia="Times New Roman"/>
                <w:b/>
                <w:sz w:val="21"/>
              </w:rPr>
              <w:t>6</w:t>
            </w:r>
            <w:r>
              <w:rPr>
                <w:b/>
                <w:sz w:val="21"/>
              </w:rPr>
              <w:t>月</w:t>
            </w:r>
            <w:r>
              <w:rPr>
                <w:rFonts w:ascii="Times New Roman" w:eastAsia="Times New Roman"/>
                <w:b/>
                <w:sz w:val="21"/>
              </w:rPr>
              <w:t>10</w:t>
            </w:r>
            <w:r>
              <w:rPr>
                <w:b/>
                <w:sz w:val="21"/>
              </w:rPr>
              <w:t>日</w:t>
            </w:r>
          </w:p>
        </w:tc>
      </w:tr>
      <w:tr>
        <w:trPr>
          <w:trHeight w:val="310" w:hRule="atLeast"/>
        </w:trPr>
        <w:tc>
          <w:tcPr>
            <w:tcW w:w="956" w:type="dxa"/>
            <w:vMerge/>
            <w:tcBorders>
              <w:top w:val="nil"/>
              <w:left w:val="nil"/>
              <w:right w:val="single" w:sz="4" w:space="0" w:color="000000"/>
            </w:tcBorders>
          </w:tcPr>
          <w:p>
            <w:pPr>
              <w:rPr>
                <w:sz w:val="2"/>
                <w:szCs w:val="2"/>
              </w:rPr>
            </w:pPr>
          </w:p>
        </w:tc>
        <w:tc>
          <w:tcPr>
            <w:tcW w:w="2940" w:type="dxa"/>
            <w:vMerge/>
            <w:tcBorders>
              <w:top w:val="nil"/>
              <w:left w:val="single" w:sz="4" w:space="0" w:color="000000"/>
              <w:right w:val="single" w:sz="4" w:space="0" w:color="000000"/>
            </w:tcBorders>
          </w:tcPr>
          <w:p>
            <w:pPr>
              <w:rPr>
                <w:sz w:val="2"/>
                <w:szCs w:val="2"/>
              </w:rPr>
            </w:pPr>
          </w:p>
        </w:tc>
        <w:tc>
          <w:tcPr>
            <w:tcW w:w="2167" w:type="dxa"/>
            <w:tcBorders>
              <w:left w:val="single" w:sz="4" w:space="0" w:color="000000"/>
              <w:right w:val="single" w:sz="4" w:space="0" w:color="000000"/>
            </w:tcBorders>
          </w:tcPr>
          <w:p>
            <w:pPr>
              <w:pStyle w:val="TableParagraph"/>
              <w:spacing w:before="8"/>
              <w:ind w:left="862" w:right="833"/>
              <w:jc w:val="center"/>
              <w:rPr>
                <w:b/>
                <w:sz w:val="21"/>
              </w:rPr>
            </w:pPr>
            <w:r>
              <w:rPr>
                <w:b/>
                <w:sz w:val="21"/>
              </w:rPr>
              <w:t>昼间</w:t>
            </w:r>
          </w:p>
        </w:tc>
        <w:tc>
          <w:tcPr>
            <w:tcW w:w="2272" w:type="dxa"/>
            <w:tcBorders>
              <w:left w:val="single" w:sz="4" w:space="0" w:color="000000"/>
              <w:right w:val="nil"/>
            </w:tcBorders>
          </w:tcPr>
          <w:p>
            <w:pPr>
              <w:pStyle w:val="TableParagraph"/>
              <w:spacing w:before="8"/>
              <w:ind w:left="915" w:right="890"/>
              <w:jc w:val="center"/>
              <w:rPr>
                <w:b/>
                <w:sz w:val="21"/>
              </w:rPr>
            </w:pPr>
            <w:r>
              <w:rPr>
                <w:b/>
                <w:sz w:val="21"/>
              </w:rPr>
              <w:t>夜间</w:t>
            </w:r>
          </w:p>
        </w:tc>
      </w:tr>
      <w:tr>
        <w:trPr>
          <w:trHeight w:val="310" w:hRule="atLeast"/>
        </w:trPr>
        <w:tc>
          <w:tcPr>
            <w:tcW w:w="956" w:type="dxa"/>
            <w:tcBorders>
              <w:left w:val="nil"/>
              <w:bottom w:val="single" w:sz="4" w:space="0" w:color="000000"/>
              <w:right w:val="single" w:sz="4" w:space="0" w:color="000000"/>
            </w:tcBorders>
          </w:tcPr>
          <w:p>
            <w:pPr>
              <w:pStyle w:val="TableParagraph"/>
              <w:spacing w:before="42"/>
              <w:ind w:right="404"/>
              <w:jc w:val="right"/>
              <w:rPr>
                <w:rFonts w:ascii="Times New Roman"/>
                <w:sz w:val="21"/>
              </w:rPr>
            </w:pPr>
            <w:r>
              <w:rPr>
                <w:rFonts w:ascii="Times New Roman"/>
                <w:w w:val="99"/>
                <w:sz w:val="21"/>
              </w:rPr>
              <w:t>1</w:t>
            </w:r>
          </w:p>
        </w:tc>
        <w:tc>
          <w:tcPr>
            <w:tcW w:w="2940" w:type="dxa"/>
            <w:tcBorders>
              <w:left w:val="single" w:sz="4" w:space="0" w:color="000000"/>
              <w:bottom w:val="single" w:sz="4" w:space="0" w:color="000000"/>
              <w:right w:val="single" w:sz="4" w:space="0" w:color="000000"/>
            </w:tcBorders>
          </w:tcPr>
          <w:p>
            <w:pPr>
              <w:pStyle w:val="TableParagraph"/>
              <w:spacing w:line="255" w:lineRule="exact" w:before="35"/>
              <w:ind w:left="924"/>
              <w:rPr>
                <w:rFonts w:ascii="Times New Roman" w:eastAsia="Times New Roman"/>
                <w:sz w:val="21"/>
              </w:rPr>
            </w:pPr>
            <w:r>
              <w:rPr>
                <w:sz w:val="21"/>
              </w:rPr>
              <w:t>东场界外</w:t>
            </w:r>
            <w:r>
              <w:rPr>
                <w:rFonts w:ascii="Times New Roman" w:eastAsia="Times New Roman"/>
                <w:sz w:val="21"/>
              </w:rPr>
              <w:t>1m</w:t>
            </w:r>
          </w:p>
        </w:tc>
        <w:tc>
          <w:tcPr>
            <w:tcW w:w="2167" w:type="dxa"/>
            <w:tcBorders>
              <w:left w:val="single" w:sz="4" w:space="0" w:color="000000"/>
              <w:bottom w:val="single" w:sz="4" w:space="0" w:color="000000"/>
              <w:right w:val="single" w:sz="4" w:space="0" w:color="000000"/>
            </w:tcBorders>
          </w:tcPr>
          <w:p>
            <w:pPr>
              <w:pStyle w:val="TableParagraph"/>
              <w:spacing w:before="42"/>
              <w:ind w:left="862" w:right="831"/>
              <w:jc w:val="center"/>
              <w:rPr>
                <w:rFonts w:ascii="Times New Roman"/>
                <w:sz w:val="21"/>
              </w:rPr>
            </w:pPr>
            <w:r>
              <w:rPr>
                <w:rFonts w:ascii="Times New Roman"/>
                <w:sz w:val="21"/>
              </w:rPr>
              <w:t>54.1</w:t>
            </w:r>
          </w:p>
        </w:tc>
        <w:tc>
          <w:tcPr>
            <w:tcW w:w="2272" w:type="dxa"/>
            <w:tcBorders>
              <w:left w:val="single" w:sz="4" w:space="0" w:color="000000"/>
              <w:bottom w:val="single" w:sz="4" w:space="0" w:color="000000"/>
              <w:right w:val="nil"/>
            </w:tcBorders>
          </w:tcPr>
          <w:p>
            <w:pPr>
              <w:pStyle w:val="TableParagraph"/>
              <w:spacing w:before="42"/>
              <w:ind w:left="912" w:right="890"/>
              <w:jc w:val="center"/>
              <w:rPr>
                <w:rFonts w:ascii="Times New Roman"/>
                <w:sz w:val="21"/>
              </w:rPr>
            </w:pPr>
            <w:r>
              <w:rPr>
                <w:rFonts w:ascii="Times New Roman"/>
                <w:sz w:val="21"/>
              </w:rPr>
              <w:t>46.3</w:t>
            </w:r>
          </w:p>
        </w:tc>
      </w:tr>
      <w:tr>
        <w:trPr>
          <w:trHeight w:val="329" w:hRule="atLeast"/>
        </w:trPr>
        <w:tc>
          <w:tcPr>
            <w:tcW w:w="956" w:type="dxa"/>
            <w:tcBorders>
              <w:top w:val="single" w:sz="4" w:space="0" w:color="000000"/>
              <w:left w:val="nil"/>
              <w:bottom w:val="single" w:sz="4" w:space="0" w:color="000000"/>
              <w:right w:val="single" w:sz="4" w:space="0" w:color="000000"/>
            </w:tcBorders>
          </w:tcPr>
          <w:p>
            <w:pPr>
              <w:pStyle w:val="TableParagraph"/>
              <w:spacing w:before="41"/>
              <w:ind w:right="404"/>
              <w:jc w:val="right"/>
              <w:rPr>
                <w:rFonts w:ascii="Times New Roman"/>
                <w:sz w:val="21"/>
              </w:rPr>
            </w:pPr>
            <w:r>
              <w:rPr>
                <w:rFonts w:ascii="Times New Roman"/>
                <w:w w:val="99"/>
                <w:sz w:val="21"/>
              </w:rPr>
              <w:t>2</w:t>
            </w:r>
          </w:p>
        </w:tc>
        <w:tc>
          <w:tcPr>
            <w:tcW w:w="2940"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before="44"/>
              <w:ind w:left="924"/>
              <w:rPr>
                <w:rFonts w:ascii="Times New Roman" w:eastAsia="Times New Roman"/>
                <w:sz w:val="21"/>
              </w:rPr>
            </w:pPr>
            <w:r>
              <w:rPr>
                <w:sz w:val="21"/>
              </w:rPr>
              <w:t>南场界外</w:t>
            </w:r>
            <w:r>
              <w:rPr>
                <w:rFonts w:ascii="Times New Roman" w:eastAsia="Times New Roman"/>
                <w:sz w:val="21"/>
              </w:rPr>
              <w:t>1m</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before="53"/>
              <w:ind w:left="862" w:right="831"/>
              <w:jc w:val="center"/>
              <w:rPr>
                <w:rFonts w:ascii="Times New Roman"/>
                <w:sz w:val="21"/>
              </w:rPr>
            </w:pPr>
            <w:r>
              <w:rPr>
                <w:rFonts w:ascii="Times New Roman"/>
                <w:sz w:val="21"/>
              </w:rPr>
              <w:t>55.6</w:t>
            </w:r>
          </w:p>
        </w:tc>
        <w:tc>
          <w:tcPr>
            <w:tcW w:w="2272" w:type="dxa"/>
            <w:tcBorders>
              <w:top w:val="single" w:sz="4" w:space="0" w:color="000000"/>
              <w:left w:val="single" w:sz="4" w:space="0" w:color="000000"/>
              <w:bottom w:val="single" w:sz="4" w:space="0" w:color="000000"/>
              <w:right w:val="nil"/>
            </w:tcBorders>
          </w:tcPr>
          <w:p>
            <w:pPr>
              <w:pStyle w:val="TableParagraph"/>
              <w:spacing w:before="53"/>
              <w:ind w:left="912" w:right="890"/>
              <w:jc w:val="center"/>
              <w:rPr>
                <w:rFonts w:ascii="Times New Roman"/>
                <w:sz w:val="21"/>
              </w:rPr>
            </w:pPr>
            <w:r>
              <w:rPr>
                <w:rFonts w:ascii="Times New Roman"/>
                <w:sz w:val="21"/>
              </w:rPr>
              <w:t>47.2</w:t>
            </w:r>
          </w:p>
        </w:tc>
      </w:tr>
      <w:tr>
        <w:trPr>
          <w:trHeight w:val="330" w:hRule="atLeast"/>
        </w:trPr>
        <w:tc>
          <w:tcPr>
            <w:tcW w:w="956" w:type="dxa"/>
            <w:tcBorders>
              <w:top w:val="single" w:sz="4" w:space="0" w:color="000000"/>
              <w:left w:val="nil"/>
              <w:bottom w:val="single" w:sz="4" w:space="0" w:color="000000"/>
              <w:right w:val="single" w:sz="4" w:space="0" w:color="000000"/>
            </w:tcBorders>
          </w:tcPr>
          <w:p>
            <w:pPr>
              <w:pStyle w:val="TableParagraph"/>
              <w:spacing w:before="54"/>
              <w:ind w:right="404"/>
              <w:jc w:val="right"/>
              <w:rPr>
                <w:rFonts w:ascii="Times New Roman"/>
                <w:sz w:val="21"/>
              </w:rPr>
            </w:pPr>
            <w:r>
              <w:rPr>
                <w:rFonts w:ascii="Times New Roman"/>
                <w:w w:val="99"/>
                <w:sz w:val="21"/>
              </w:rPr>
              <w:t>3</w:t>
            </w:r>
          </w:p>
        </w:tc>
        <w:tc>
          <w:tcPr>
            <w:tcW w:w="294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before="45"/>
              <w:ind w:left="924"/>
              <w:rPr>
                <w:rFonts w:ascii="Times New Roman" w:eastAsia="Times New Roman"/>
                <w:sz w:val="21"/>
              </w:rPr>
            </w:pPr>
            <w:r>
              <w:rPr>
                <w:sz w:val="21"/>
              </w:rPr>
              <w:t>西场界外</w:t>
            </w:r>
            <w:r>
              <w:rPr>
                <w:rFonts w:ascii="Times New Roman" w:eastAsia="Times New Roman"/>
                <w:sz w:val="21"/>
              </w:rPr>
              <w:t>1m</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before="54"/>
              <w:ind w:left="862" w:right="831"/>
              <w:jc w:val="center"/>
              <w:rPr>
                <w:rFonts w:ascii="Times New Roman"/>
                <w:sz w:val="21"/>
              </w:rPr>
            </w:pPr>
            <w:r>
              <w:rPr>
                <w:rFonts w:ascii="Times New Roman"/>
                <w:sz w:val="21"/>
              </w:rPr>
              <w:t>50.9</w:t>
            </w:r>
          </w:p>
        </w:tc>
        <w:tc>
          <w:tcPr>
            <w:tcW w:w="2272" w:type="dxa"/>
            <w:tcBorders>
              <w:top w:val="single" w:sz="4" w:space="0" w:color="000000"/>
              <w:left w:val="single" w:sz="4" w:space="0" w:color="000000"/>
              <w:bottom w:val="single" w:sz="4" w:space="0" w:color="000000"/>
              <w:right w:val="nil"/>
            </w:tcBorders>
          </w:tcPr>
          <w:p>
            <w:pPr>
              <w:pStyle w:val="TableParagraph"/>
              <w:spacing w:before="54"/>
              <w:ind w:left="912" w:right="890"/>
              <w:jc w:val="center"/>
              <w:rPr>
                <w:rFonts w:ascii="Times New Roman"/>
                <w:sz w:val="21"/>
              </w:rPr>
            </w:pPr>
            <w:r>
              <w:rPr>
                <w:rFonts w:ascii="Times New Roman"/>
                <w:sz w:val="21"/>
              </w:rPr>
              <w:t>43.9</w:t>
            </w:r>
          </w:p>
        </w:tc>
      </w:tr>
      <w:tr>
        <w:trPr>
          <w:trHeight w:val="330" w:hRule="atLeast"/>
        </w:trPr>
        <w:tc>
          <w:tcPr>
            <w:tcW w:w="956" w:type="dxa"/>
            <w:tcBorders>
              <w:top w:val="single" w:sz="4" w:space="0" w:color="000000"/>
              <w:left w:val="nil"/>
              <w:bottom w:val="single" w:sz="4" w:space="0" w:color="000000"/>
              <w:right w:val="single" w:sz="4" w:space="0" w:color="000000"/>
            </w:tcBorders>
          </w:tcPr>
          <w:p>
            <w:pPr>
              <w:pStyle w:val="TableParagraph"/>
              <w:spacing w:before="52"/>
              <w:ind w:right="404"/>
              <w:jc w:val="right"/>
              <w:rPr>
                <w:rFonts w:ascii="Times New Roman"/>
                <w:sz w:val="21"/>
              </w:rPr>
            </w:pPr>
            <w:r>
              <w:rPr>
                <w:rFonts w:ascii="Times New Roman"/>
                <w:w w:val="99"/>
                <w:sz w:val="21"/>
              </w:rPr>
              <w:t>4</w:t>
            </w:r>
          </w:p>
        </w:tc>
        <w:tc>
          <w:tcPr>
            <w:tcW w:w="2940" w:type="dxa"/>
            <w:tcBorders>
              <w:top w:val="single" w:sz="4" w:space="0" w:color="000000"/>
              <w:left w:val="single" w:sz="4" w:space="0" w:color="000000"/>
              <w:bottom w:val="single" w:sz="4" w:space="0" w:color="000000"/>
              <w:right w:val="single" w:sz="4" w:space="0" w:color="000000"/>
            </w:tcBorders>
          </w:tcPr>
          <w:p>
            <w:pPr>
              <w:pStyle w:val="TableParagraph"/>
              <w:spacing w:line="264" w:lineRule="exact" w:before="45"/>
              <w:ind w:left="924"/>
              <w:rPr>
                <w:rFonts w:ascii="Times New Roman" w:eastAsia="Times New Roman"/>
                <w:sz w:val="21"/>
              </w:rPr>
            </w:pPr>
            <w:r>
              <w:rPr>
                <w:sz w:val="21"/>
              </w:rPr>
              <w:t>北场界外</w:t>
            </w:r>
            <w:r>
              <w:rPr>
                <w:rFonts w:ascii="Times New Roman" w:eastAsia="Times New Roman"/>
                <w:sz w:val="21"/>
              </w:rPr>
              <w:t>1m</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before="52"/>
              <w:ind w:left="862" w:right="831"/>
              <w:jc w:val="center"/>
              <w:rPr>
                <w:rFonts w:ascii="Times New Roman"/>
                <w:sz w:val="21"/>
              </w:rPr>
            </w:pPr>
            <w:r>
              <w:rPr>
                <w:rFonts w:ascii="Times New Roman"/>
                <w:sz w:val="21"/>
              </w:rPr>
              <w:t>57.2</w:t>
            </w:r>
          </w:p>
        </w:tc>
        <w:tc>
          <w:tcPr>
            <w:tcW w:w="2272" w:type="dxa"/>
            <w:tcBorders>
              <w:top w:val="single" w:sz="4" w:space="0" w:color="000000"/>
              <w:left w:val="single" w:sz="4" w:space="0" w:color="000000"/>
              <w:bottom w:val="single" w:sz="4" w:space="0" w:color="000000"/>
              <w:right w:val="nil"/>
            </w:tcBorders>
          </w:tcPr>
          <w:p>
            <w:pPr>
              <w:pStyle w:val="TableParagraph"/>
              <w:spacing w:before="52"/>
              <w:ind w:left="912" w:right="890"/>
              <w:jc w:val="center"/>
              <w:rPr>
                <w:rFonts w:ascii="Times New Roman"/>
                <w:sz w:val="21"/>
              </w:rPr>
            </w:pPr>
            <w:r>
              <w:rPr>
                <w:rFonts w:ascii="Times New Roman"/>
                <w:sz w:val="21"/>
              </w:rPr>
              <w:t>47.8</w:t>
            </w:r>
          </w:p>
        </w:tc>
      </w:tr>
      <w:tr>
        <w:trPr>
          <w:trHeight w:val="330" w:hRule="atLeast"/>
        </w:trPr>
        <w:tc>
          <w:tcPr>
            <w:tcW w:w="956" w:type="dxa"/>
            <w:tcBorders>
              <w:top w:val="single" w:sz="4" w:space="0" w:color="000000"/>
              <w:left w:val="nil"/>
              <w:bottom w:val="single" w:sz="4" w:space="0" w:color="000000"/>
              <w:right w:val="single" w:sz="4" w:space="0" w:color="000000"/>
            </w:tcBorders>
          </w:tcPr>
          <w:p>
            <w:pPr>
              <w:pStyle w:val="TableParagraph"/>
              <w:spacing w:before="53"/>
              <w:ind w:right="404"/>
              <w:jc w:val="right"/>
              <w:rPr>
                <w:rFonts w:ascii="Times New Roman"/>
                <w:sz w:val="21"/>
              </w:rPr>
            </w:pPr>
            <w:r>
              <w:rPr>
                <w:rFonts w:ascii="Times New Roman"/>
                <w:w w:val="99"/>
                <w:sz w:val="21"/>
              </w:rPr>
              <w:t>5</w:t>
            </w:r>
          </w:p>
        </w:tc>
        <w:tc>
          <w:tcPr>
            <w:tcW w:w="2940" w:type="dxa"/>
            <w:tcBorders>
              <w:top w:val="single" w:sz="4" w:space="0" w:color="000000"/>
              <w:left w:val="single" w:sz="4" w:space="0" w:color="000000"/>
              <w:bottom w:val="single" w:sz="4" w:space="0" w:color="000000"/>
              <w:right w:val="single" w:sz="4" w:space="0" w:color="000000"/>
            </w:tcBorders>
          </w:tcPr>
          <w:p>
            <w:pPr>
              <w:pStyle w:val="TableParagraph"/>
              <w:spacing w:before="27"/>
              <w:ind w:left="715"/>
              <w:rPr>
                <w:sz w:val="21"/>
              </w:rPr>
            </w:pPr>
            <w:r>
              <w:rPr>
                <w:sz w:val="21"/>
              </w:rPr>
              <w:t>东侧</w:t>
            </w:r>
            <w:r>
              <w:rPr>
                <w:rFonts w:ascii="Times New Roman" w:eastAsia="Times New Roman"/>
                <w:sz w:val="21"/>
              </w:rPr>
              <w:t>158m</w:t>
            </w:r>
            <w:r>
              <w:rPr>
                <w:sz w:val="21"/>
              </w:rPr>
              <w:t>处村民</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before="53"/>
              <w:ind w:left="862" w:right="831"/>
              <w:jc w:val="center"/>
              <w:rPr>
                <w:rFonts w:ascii="Times New Roman"/>
                <w:sz w:val="21"/>
              </w:rPr>
            </w:pPr>
            <w:r>
              <w:rPr>
                <w:rFonts w:ascii="Times New Roman"/>
                <w:sz w:val="21"/>
              </w:rPr>
              <w:t>54.6</w:t>
            </w:r>
          </w:p>
        </w:tc>
        <w:tc>
          <w:tcPr>
            <w:tcW w:w="2272" w:type="dxa"/>
            <w:tcBorders>
              <w:top w:val="single" w:sz="4" w:space="0" w:color="000000"/>
              <w:left w:val="single" w:sz="4" w:space="0" w:color="000000"/>
              <w:bottom w:val="single" w:sz="4" w:space="0" w:color="000000"/>
              <w:right w:val="nil"/>
            </w:tcBorders>
          </w:tcPr>
          <w:p>
            <w:pPr>
              <w:pStyle w:val="TableParagraph"/>
              <w:spacing w:before="53"/>
              <w:ind w:left="912" w:right="890"/>
              <w:jc w:val="center"/>
              <w:rPr>
                <w:rFonts w:ascii="Times New Roman"/>
                <w:sz w:val="21"/>
              </w:rPr>
            </w:pPr>
            <w:r>
              <w:rPr>
                <w:rFonts w:ascii="Times New Roman"/>
                <w:sz w:val="21"/>
              </w:rPr>
              <w:t>47.0</w:t>
            </w:r>
          </w:p>
        </w:tc>
      </w:tr>
      <w:tr>
        <w:trPr>
          <w:trHeight w:val="330" w:hRule="atLeast"/>
        </w:trPr>
        <w:tc>
          <w:tcPr>
            <w:tcW w:w="956" w:type="dxa"/>
            <w:tcBorders>
              <w:top w:val="single" w:sz="4" w:space="0" w:color="000000"/>
              <w:left w:val="nil"/>
              <w:bottom w:val="single" w:sz="4" w:space="0" w:color="000000"/>
              <w:right w:val="single" w:sz="4" w:space="0" w:color="000000"/>
            </w:tcBorders>
          </w:tcPr>
          <w:p>
            <w:pPr>
              <w:pStyle w:val="TableParagraph"/>
              <w:spacing w:before="54"/>
              <w:ind w:right="404"/>
              <w:jc w:val="right"/>
              <w:rPr>
                <w:rFonts w:ascii="Times New Roman"/>
                <w:sz w:val="21"/>
              </w:rPr>
            </w:pPr>
            <w:r>
              <w:rPr>
                <w:rFonts w:ascii="Times New Roman"/>
                <w:w w:val="99"/>
                <w:sz w:val="21"/>
              </w:rPr>
              <w:t>6</w:t>
            </w:r>
          </w:p>
        </w:tc>
        <w:tc>
          <w:tcPr>
            <w:tcW w:w="2940" w:type="dxa"/>
            <w:tcBorders>
              <w:top w:val="single" w:sz="4" w:space="0" w:color="000000"/>
              <w:left w:val="single" w:sz="4" w:space="0" w:color="000000"/>
              <w:bottom w:val="single" w:sz="4" w:space="0" w:color="000000"/>
              <w:right w:val="single" w:sz="4" w:space="0" w:color="000000"/>
            </w:tcBorders>
          </w:tcPr>
          <w:p>
            <w:pPr>
              <w:pStyle w:val="TableParagraph"/>
              <w:spacing w:before="28"/>
              <w:ind w:left="746"/>
              <w:rPr>
                <w:sz w:val="21"/>
              </w:rPr>
            </w:pPr>
            <w:r>
              <w:rPr>
                <w:sz w:val="21"/>
              </w:rPr>
              <w:t>东南侧</w:t>
            </w:r>
            <w:r>
              <w:rPr>
                <w:rFonts w:ascii="Times New Roman" w:eastAsia="Times New Roman"/>
                <w:sz w:val="21"/>
              </w:rPr>
              <w:t>120m</w:t>
            </w:r>
            <w:r>
              <w:rPr>
                <w:sz w:val="21"/>
              </w:rPr>
              <w:t>处村民</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before="54"/>
              <w:ind w:left="862" w:right="831"/>
              <w:jc w:val="center"/>
              <w:rPr>
                <w:rFonts w:ascii="Times New Roman"/>
                <w:sz w:val="21"/>
              </w:rPr>
            </w:pPr>
            <w:r>
              <w:rPr>
                <w:rFonts w:ascii="Times New Roman"/>
                <w:sz w:val="21"/>
              </w:rPr>
              <w:t>54.1</w:t>
            </w:r>
          </w:p>
        </w:tc>
        <w:tc>
          <w:tcPr>
            <w:tcW w:w="2272" w:type="dxa"/>
            <w:tcBorders>
              <w:top w:val="single" w:sz="4" w:space="0" w:color="000000"/>
              <w:left w:val="single" w:sz="4" w:space="0" w:color="000000"/>
              <w:bottom w:val="single" w:sz="4" w:space="0" w:color="000000"/>
              <w:right w:val="nil"/>
            </w:tcBorders>
          </w:tcPr>
          <w:p>
            <w:pPr>
              <w:pStyle w:val="TableParagraph"/>
              <w:spacing w:before="54"/>
              <w:ind w:left="912" w:right="890"/>
              <w:jc w:val="center"/>
              <w:rPr>
                <w:rFonts w:ascii="Times New Roman"/>
                <w:sz w:val="21"/>
              </w:rPr>
            </w:pPr>
            <w:r>
              <w:rPr>
                <w:rFonts w:ascii="Times New Roman"/>
                <w:sz w:val="21"/>
              </w:rPr>
              <w:t>46.7</w:t>
            </w:r>
          </w:p>
        </w:tc>
      </w:tr>
      <w:tr>
        <w:trPr>
          <w:trHeight w:val="329" w:hRule="atLeast"/>
        </w:trPr>
        <w:tc>
          <w:tcPr>
            <w:tcW w:w="3896" w:type="dxa"/>
            <w:gridSpan w:val="2"/>
            <w:tcBorders>
              <w:top w:val="single" w:sz="4" w:space="0" w:color="000000"/>
              <w:left w:val="nil"/>
              <w:right w:val="single" w:sz="4" w:space="0" w:color="000000"/>
            </w:tcBorders>
          </w:tcPr>
          <w:p>
            <w:pPr>
              <w:pStyle w:val="TableParagraph"/>
              <w:tabs>
                <w:tab w:pos="2273" w:val="left" w:leader="none"/>
              </w:tabs>
              <w:spacing w:before="38"/>
              <w:ind w:left="862"/>
              <w:rPr>
                <w:sz w:val="21"/>
              </w:rPr>
            </w:pPr>
            <w:r>
              <w:rPr>
                <w:rFonts w:ascii="Times New Roman" w:eastAsia="Times New Roman"/>
                <w:sz w:val="21"/>
              </w:rPr>
              <w:t>GB3096-2008</w:t>
              <w:tab/>
              <w:t>2 </w:t>
            </w:r>
            <w:r>
              <w:rPr>
                <w:sz w:val="21"/>
              </w:rPr>
              <w:t>类标准</w:t>
            </w:r>
          </w:p>
        </w:tc>
        <w:tc>
          <w:tcPr>
            <w:tcW w:w="2167" w:type="dxa"/>
            <w:tcBorders>
              <w:top w:val="single" w:sz="4" w:space="0" w:color="000000"/>
              <w:left w:val="single" w:sz="4" w:space="0" w:color="000000"/>
              <w:right w:val="single" w:sz="4" w:space="0" w:color="000000"/>
            </w:tcBorders>
          </w:tcPr>
          <w:p>
            <w:pPr>
              <w:pStyle w:val="TableParagraph"/>
              <w:spacing w:before="31"/>
              <w:ind w:left="859" w:right="833"/>
              <w:jc w:val="center"/>
              <w:rPr>
                <w:rFonts w:ascii="Times New Roman"/>
                <w:sz w:val="21"/>
              </w:rPr>
            </w:pPr>
            <w:r>
              <w:rPr>
                <w:rFonts w:ascii="Times New Roman"/>
                <w:sz w:val="21"/>
              </w:rPr>
              <w:t>60</w:t>
            </w:r>
          </w:p>
        </w:tc>
        <w:tc>
          <w:tcPr>
            <w:tcW w:w="2272" w:type="dxa"/>
            <w:tcBorders>
              <w:top w:val="single" w:sz="4" w:space="0" w:color="000000"/>
              <w:left w:val="single" w:sz="4" w:space="0" w:color="000000"/>
              <w:right w:val="nil"/>
            </w:tcBorders>
          </w:tcPr>
          <w:p>
            <w:pPr>
              <w:pStyle w:val="TableParagraph"/>
              <w:spacing w:before="31"/>
              <w:ind w:left="912" w:right="890"/>
              <w:jc w:val="center"/>
              <w:rPr>
                <w:rFonts w:ascii="Times New Roman"/>
                <w:sz w:val="21"/>
              </w:rPr>
            </w:pPr>
            <w:r>
              <w:rPr>
                <w:rFonts w:ascii="Times New Roman"/>
                <w:sz w:val="21"/>
              </w:rPr>
              <w:t>50</w:t>
            </w:r>
          </w:p>
        </w:tc>
      </w:tr>
    </w:tbl>
    <w:p>
      <w:pPr>
        <w:pStyle w:val="ListParagraph"/>
        <w:numPr>
          <w:ilvl w:val="2"/>
          <w:numId w:val="9"/>
        </w:numPr>
        <w:tabs>
          <w:tab w:pos="1356" w:val="left" w:leader="none"/>
        </w:tabs>
        <w:spacing w:line="240" w:lineRule="auto" w:before="129" w:after="0"/>
        <w:ind w:left="1356" w:right="0" w:hanging="540"/>
        <w:jc w:val="left"/>
        <w:rPr>
          <w:sz w:val="24"/>
        </w:rPr>
      </w:pPr>
      <w:r>
        <w:rPr>
          <w:sz w:val="24"/>
        </w:rPr>
        <w:t>结论</w:t>
      </w:r>
    </w:p>
    <w:p>
      <w:pPr>
        <w:pStyle w:val="BodyText"/>
        <w:spacing w:before="154"/>
        <w:ind w:left="816"/>
      </w:pPr>
      <w:r>
        <w:rPr/>
        <w:t>该建设项目所在地环境质量现状：</w:t>
      </w:r>
    </w:p>
    <w:p>
      <w:pPr>
        <w:pStyle w:val="BodyText"/>
        <w:spacing w:before="153"/>
        <w:ind w:left="816"/>
      </w:pPr>
      <w:r>
        <w:rPr>
          <w:rFonts w:ascii="Times New Roman" w:eastAsia="Times New Roman"/>
        </w:rPr>
        <w:t>1</w:t>
      </w:r>
      <w:r>
        <w:rPr/>
        <w:t>、环境空气质量总体未达到《环境空气质量标准》二级标准。</w:t>
      </w:r>
    </w:p>
    <w:p>
      <w:pPr>
        <w:pStyle w:val="BodyText"/>
        <w:spacing w:before="151"/>
        <w:ind w:left="816"/>
      </w:pPr>
      <w:r>
        <w:rPr>
          <w:rFonts w:ascii="Times New Roman" w:eastAsia="Times New Roman"/>
        </w:rPr>
        <w:t>2</w:t>
      </w:r>
      <w:r>
        <w:rPr/>
        <w:t>、项目场界声环境现状昼、夜间均达到《声环境质量标准》</w:t>
      </w:r>
      <w:r>
        <w:rPr>
          <w:rFonts w:ascii="Times New Roman" w:eastAsia="Times New Roman"/>
        </w:rPr>
        <w:t>2 </w:t>
      </w:r>
      <w:r>
        <w:rPr/>
        <w:t>类要求。</w:t>
      </w:r>
    </w:p>
    <w:p>
      <w:pPr>
        <w:pStyle w:val="ListParagraph"/>
        <w:numPr>
          <w:ilvl w:val="1"/>
          <w:numId w:val="9"/>
        </w:numPr>
        <w:tabs>
          <w:tab w:pos="696" w:val="left" w:leader="none"/>
        </w:tabs>
        <w:spacing w:line="240" w:lineRule="auto" w:before="218" w:after="0"/>
        <w:ind w:left="696" w:right="0" w:hanging="361"/>
        <w:jc w:val="left"/>
        <w:rPr>
          <w:rFonts w:ascii="黑体" w:eastAsia="黑体" w:hint="eastAsia"/>
          <w:sz w:val="24"/>
        </w:rPr>
      </w:pPr>
      <w:bookmarkStart w:name="3.2主要环境保护目标" w:id="25"/>
      <w:bookmarkEnd w:id="25"/>
      <w:r>
        <w:rPr/>
      </w:r>
      <w:bookmarkStart w:name="_bookmark6" w:id="26"/>
      <w:bookmarkEnd w:id="26"/>
      <w:r>
        <w:rPr/>
      </w:r>
      <w:bookmarkStart w:name="_bookmark6" w:id="27"/>
      <w:bookmarkEnd w:id="27"/>
      <w:r>
        <w:rPr>
          <w:rFonts w:ascii="黑体" w:eastAsia="黑体" w:hint="eastAsia"/>
          <w:sz w:val="24"/>
        </w:rPr>
        <w:t>主要环境保护目标</w:t>
      </w:r>
    </w:p>
    <w:p>
      <w:pPr>
        <w:pStyle w:val="BodyText"/>
        <w:spacing w:line="357" w:lineRule="auto" w:before="158"/>
        <w:ind w:left="335" w:right="313" w:firstLine="480"/>
        <w:jc w:val="both"/>
      </w:pPr>
      <w:r>
        <w:rPr/>
        <w:t>根据现状调查，项目场地周围无其它需求特殊保护的重点文物、珍稀动植物及风景名胜等，本项目主要保护目标详见表 </w:t>
      </w:r>
      <w:r>
        <w:rPr>
          <w:rFonts w:ascii="Times New Roman" w:eastAsia="Times New Roman"/>
        </w:rPr>
        <w:t>3.4</w:t>
      </w:r>
      <w:r>
        <w:rPr/>
        <w:t>、</w:t>
      </w:r>
      <w:r>
        <w:rPr>
          <w:rFonts w:ascii="Times New Roman" w:eastAsia="Times New Roman"/>
        </w:rPr>
        <w:t>3.5</w:t>
      </w:r>
      <w:r>
        <w:rPr/>
        <w:t>。</w:t>
      </w:r>
    </w:p>
    <w:p>
      <w:pPr>
        <w:pStyle w:val="Heading2"/>
        <w:tabs>
          <w:tab w:pos="4353" w:val="left" w:leader="none"/>
        </w:tabs>
        <w:spacing w:before="3" w:after="24"/>
        <w:ind w:left="3513"/>
      </w:pPr>
      <w:r>
        <w:rPr/>
        <w:t>表</w:t>
      </w:r>
      <w:r>
        <w:rPr>
          <w:spacing w:val="-62"/>
        </w:rPr>
        <w:t> </w:t>
      </w:r>
      <w:r>
        <w:rPr>
          <w:rFonts w:ascii="Times New Roman" w:eastAsia="Times New Roman"/>
        </w:rPr>
        <w:t>3.4</w:t>
        <w:tab/>
      </w:r>
      <w:r>
        <w:rPr/>
        <w:t>环境空气保护目标表</w:t>
      </w:r>
    </w:p>
    <w:tbl>
      <w:tblPr>
        <w:tblW w:w="0" w:type="auto"/>
        <w:jc w:val="left"/>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13"/>
        <w:gridCol w:w="762"/>
        <w:gridCol w:w="766"/>
        <w:gridCol w:w="1148"/>
        <w:gridCol w:w="1773"/>
        <w:gridCol w:w="852"/>
        <w:gridCol w:w="1051"/>
        <w:gridCol w:w="1300"/>
      </w:tblGrid>
      <w:tr>
        <w:trPr>
          <w:trHeight w:val="327" w:hRule="atLeast"/>
        </w:trPr>
        <w:tc>
          <w:tcPr>
            <w:tcW w:w="1313" w:type="dxa"/>
            <w:vMerge w:val="restart"/>
            <w:tcBorders>
              <w:left w:val="nil"/>
              <w:right w:val="single" w:sz="4" w:space="0" w:color="000000"/>
            </w:tcBorders>
          </w:tcPr>
          <w:p>
            <w:pPr>
              <w:pStyle w:val="TableParagraph"/>
              <w:spacing w:before="10"/>
              <w:rPr>
                <w:b/>
                <w:sz w:val="15"/>
              </w:rPr>
            </w:pPr>
          </w:p>
          <w:p>
            <w:pPr>
              <w:pStyle w:val="TableParagraph"/>
              <w:ind w:left="460"/>
              <w:rPr>
                <w:b/>
                <w:sz w:val="21"/>
              </w:rPr>
            </w:pPr>
            <w:r>
              <w:rPr>
                <w:b/>
                <w:sz w:val="21"/>
              </w:rPr>
              <w:t>名称</w:t>
            </w:r>
          </w:p>
        </w:tc>
        <w:tc>
          <w:tcPr>
            <w:tcW w:w="1528" w:type="dxa"/>
            <w:gridSpan w:val="2"/>
            <w:tcBorders>
              <w:left w:val="single" w:sz="4" w:space="0" w:color="000000"/>
              <w:bottom w:val="single" w:sz="4" w:space="0" w:color="000000"/>
              <w:right w:val="single" w:sz="4" w:space="0" w:color="000000"/>
            </w:tcBorders>
          </w:tcPr>
          <w:p>
            <w:pPr>
              <w:pStyle w:val="TableParagraph"/>
              <w:spacing w:before="34"/>
              <w:ind w:left="447"/>
              <w:rPr>
                <w:rFonts w:ascii="Times New Roman" w:eastAsia="Times New Roman"/>
                <w:b/>
                <w:sz w:val="21"/>
              </w:rPr>
            </w:pPr>
            <w:r>
              <w:rPr>
                <w:b/>
                <w:sz w:val="21"/>
              </w:rPr>
              <w:t>坐标</w:t>
            </w:r>
            <w:r>
              <w:rPr>
                <w:rFonts w:ascii="Times New Roman" w:eastAsia="Times New Roman"/>
                <w:b/>
                <w:sz w:val="21"/>
              </w:rPr>
              <w:t>/m</w:t>
            </w:r>
          </w:p>
        </w:tc>
        <w:tc>
          <w:tcPr>
            <w:tcW w:w="1148" w:type="dxa"/>
            <w:vMerge w:val="restart"/>
            <w:tcBorders>
              <w:left w:val="single" w:sz="4" w:space="0" w:color="000000"/>
              <w:right w:val="single" w:sz="4" w:space="0" w:color="000000"/>
            </w:tcBorders>
          </w:tcPr>
          <w:p>
            <w:pPr>
              <w:pStyle w:val="TableParagraph"/>
              <w:spacing w:before="10"/>
              <w:rPr>
                <w:b/>
                <w:sz w:val="15"/>
              </w:rPr>
            </w:pPr>
          </w:p>
          <w:p>
            <w:pPr>
              <w:pStyle w:val="TableParagraph"/>
              <w:ind w:left="163"/>
              <w:rPr>
                <w:b/>
                <w:sz w:val="21"/>
              </w:rPr>
            </w:pPr>
            <w:r>
              <w:rPr>
                <w:b/>
                <w:sz w:val="21"/>
              </w:rPr>
              <w:t>保护对象</w:t>
            </w:r>
          </w:p>
        </w:tc>
        <w:tc>
          <w:tcPr>
            <w:tcW w:w="1773" w:type="dxa"/>
            <w:vMerge w:val="restart"/>
            <w:tcBorders>
              <w:left w:val="single" w:sz="4" w:space="0" w:color="000000"/>
              <w:right w:val="single" w:sz="4" w:space="0" w:color="000000"/>
            </w:tcBorders>
          </w:tcPr>
          <w:p>
            <w:pPr>
              <w:pStyle w:val="TableParagraph"/>
              <w:spacing w:before="10"/>
              <w:rPr>
                <w:b/>
                <w:sz w:val="15"/>
              </w:rPr>
            </w:pPr>
          </w:p>
          <w:p>
            <w:pPr>
              <w:pStyle w:val="TableParagraph"/>
              <w:ind w:left="474"/>
              <w:rPr>
                <w:b/>
                <w:sz w:val="21"/>
              </w:rPr>
            </w:pPr>
            <w:r>
              <w:rPr>
                <w:b/>
                <w:sz w:val="21"/>
              </w:rPr>
              <w:t>保护内容</w:t>
            </w:r>
          </w:p>
        </w:tc>
        <w:tc>
          <w:tcPr>
            <w:tcW w:w="852" w:type="dxa"/>
            <w:vMerge w:val="restart"/>
            <w:tcBorders>
              <w:left w:val="single" w:sz="4" w:space="0" w:color="000000"/>
              <w:right w:val="single" w:sz="4" w:space="0" w:color="000000"/>
            </w:tcBorders>
          </w:tcPr>
          <w:p>
            <w:pPr>
              <w:pStyle w:val="TableParagraph"/>
              <w:spacing w:line="242" w:lineRule="auto" w:before="65"/>
              <w:ind w:left="225" w:right="89" w:hanging="106"/>
              <w:rPr>
                <w:b/>
                <w:sz w:val="21"/>
              </w:rPr>
            </w:pPr>
            <w:r>
              <w:rPr>
                <w:b/>
                <w:sz w:val="21"/>
              </w:rPr>
              <w:t>环境功能区</w:t>
            </w:r>
          </w:p>
        </w:tc>
        <w:tc>
          <w:tcPr>
            <w:tcW w:w="1051" w:type="dxa"/>
            <w:vMerge w:val="restart"/>
            <w:tcBorders>
              <w:left w:val="single" w:sz="4" w:space="0" w:color="000000"/>
              <w:right w:val="single" w:sz="4" w:space="0" w:color="000000"/>
            </w:tcBorders>
          </w:tcPr>
          <w:p>
            <w:pPr>
              <w:pStyle w:val="TableParagraph"/>
              <w:spacing w:before="10"/>
              <w:rPr>
                <w:b/>
                <w:sz w:val="15"/>
              </w:rPr>
            </w:pPr>
          </w:p>
          <w:p>
            <w:pPr>
              <w:pStyle w:val="TableParagraph"/>
              <w:ind w:left="88"/>
              <w:rPr>
                <w:b/>
                <w:sz w:val="21"/>
              </w:rPr>
            </w:pPr>
            <w:r>
              <w:rPr>
                <w:b/>
                <w:sz w:val="21"/>
              </w:rPr>
              <w:t>相对方位</w:t>
            </w:r>
          </w:p>
        </w:tc>
        <w:tc>
          <w:tcPr>
            <w:tcW w:w="1300" w:type="dxa"/>
            <w:vMerge w:val="restart"/>
            <w:tcBorders>
              <w:left w:val="single" w:sz="4" w:space="0" w:color="000000"/>
              <w:right w:val="nil"/>
            </w:tcBorders>
          </w:tcPr>
          <w:p>
            <w:pPr>
              <w:pStyle w:val="TableParagraph"/>
              <w:spacing w:before="10"/>
              <w:rPr>
                <w:b/>
                <w:sz w:val="15"/>
              </w:rPr>
            </w:pPr>
          </w:p>
          <w:p>
            <w:pPr>
              <w:pStyle w:val="TableParagraph"/>
              <w:ind w:left="122"/>
              <w:rPr>
                <w:rFonts w:ascii="Times New Roman" w:eastAsia="Times New Roman"/>
                <w:b/>
                <w:sz w:val="21"/>
              </w:rPr>
            </w:pPr>
            <w:r>
              <w:rPr>
                <w:b/>
                <w:sz w:val="21"/>
              </w:rPr>
              <w:t>相对距离</w:t>
            </w:r>
            <w:r>
              <w:rPr>
                <w:rFonts w:ascii="Times New Roman" w:eastAsia="Times New Roman"/>
                <w:b/>
                <w:sz w:val="21"/>
              </w:rPr>
              <w:t>/m</w:t>
            </w:r>
          </w:p>
        </w:tc>
      </w:tr>
      <w:tr>
        <w:trPr>
          <w:trHeight w:val="316" w:hRule="atLeast"/>
        </w:trPr>
        <w:tc>
          <w:tcPr>
            <w:tcW w:w="1313" w:type="dxa"/>
            <w:vMerge/>
            <w:tcBorders>
              <w:top w:val="nil"/>
              <w:left w:val="nil"/>
              <w:right w:val="single" w:sz="4" w:space="0" w:color="000000"/>
            </w:tcBorders>
          </w:tcPr>
          <w:p>
            <w:pPr>
              <w:rPr>
                <w:sz w:val="2"/>
                <w:szCs w:val="2"/>
              </w:rPr>
            </w:pPr>
          </w:p>
        </w:tc>
        <w:tc>
          <w:tcPr>
            <w:tcW w:w="762" w:type="dxa"/>
            <w:tcBorders>
              <w:top w:val="single" w:sz="4" w:space="0" w:color="000000"/>
              <w:left w:val="single" w:sz="4" w:space="0" w:color="000000"/>
              <w:right w:val="single" w:sz="4" w:space="0" w:color="000000"/>
            </w:tcBorders>
          </w:tcPr>
          <w:p>
            <w:pPr>
              <w:pStyle w:val="TableParagraph"/>
              <w:spacing w:before="41"/>
              <w:ind w:left="25"/>
              <w:jc w:val="center"/>
              <w:rPr>
                <w:rFonts w:ascii="Times New Roman"/>
                <w:b/>
                <w:sz w:val="21"/>
              </w:rPr>
            </w:pPr>
            <w:r>
              <w:rPr>
                <w:rFonts w:ascii="Times New Roman"/>
                <w:b/>
                <w:w w:val="99"/>
                <w:sz w:val="21"/>
              </w:rPr>
              <w:t>X</w:t>
            </w:r>
          </w:p>
        </w:tc>
        <w:tc>
          <w:tcPr>
            <w:tcW w:w="766" w:type="dxa"/>
            <w:tcBorders>
              <w:top w:val="single" w:sz="4" w:space="0" w:color="000000"/>
              <w:left w:val="single" w:sz="4" w:space="0" w:color="000000"/>
              <w:right w:val="single" w:sz="4" w:space="0" w:color="000000"/>
            </w:tcBorders>
          </w:tcPr>
          <w:p>
            <w:pPr>
              <w:pStyle w:val="TableParagraph"/>
              <w:spacing w:before="41"/>
              <w:ind w:left="28"/>
              <w:jc w:val="center"/>
              <w:rPr>
                <w:rFonts w:ascii="Times New Roman"/>
                <w:b/>
                <w:sz w:val="21"/>
              </w:rPr>
            </w:pPr>
            <w:r>
              <w:rPr>
                <w:rFonts w:ascii="Times New Roman"/>
                <w:b/>
                <w:w w:val="99"/>
                <w:sz w:val="21"/>
              </w:rPr>
              <w:t>Y</w:t>
            </w:r>
          </w:p>
        </w:tc>
        <w:tc>
          <w:tcPr>
            <w:tcW w:w="1148" w:type="dxa"/>
            <w:vMerge/>
            <w:tcBorders>
              <w:top w:val="nil"/>
              <w:left w:val="single" w:sz="4" w:space="0" w:color="000000"/>
              <w:right w:val="single" w:sz="4" w:space="0" w:color="000000"/>
            </w:tcBorders>
          </w:tcPr>
          <w:p>
            <w:pPr>
              <w:rPr>
                <w:sz w:val="2"/>
                <w:szCs w:val="2"/>
              </w:rPr>
            </w:pPr>
          </w:p>
        </w:tc>
        <w:tc>
          <w:tcPr>
            <w:tcW w:w="1773" w:type="dxa"/>
            <w:vMerge/>
            <w:tcBorders>
              <w:top w:val="nil"/>
              <w:left w:val="single" w:sz="4" w:space="0" w:color="000000"/>
              <w:right w:val="single" w:sz="4" w:space="0" w:color="000000"/>
            </w:tcBorders>
          </w:tcPr>
          <w:p>
            <w:pPr>
              <w:rPr>
                <w:sz w:val="2"/>
                <w:szCs w:val="2"/>
              </w:rPr>
            </w:pPr>
          </w:p>
        </w:tc>
        <w:tc>
          <w:tcPr>
            <w:tcW w:w="852" w:type="dxa"/>
            <w:vMerge/>
            <w:tcBorders>
              <w:top w:val="nil"/>
              <w:left w:val="single" w:sz="4" w:space="0" w:color="000000"/>
              <w:right w:val="single" w:sz="4" w:space="0" w:color="000000"/>
            </w:tcBorders>
          </w:tcPr>
          <w:p>
            <w:pPr>
              <w:rPr>
                <w:sz w:val="2"/>
                <w:szCs w:val="2"/>
              </w:rPr>
            </w:pPr>
          </w:p>
        </w:tc>
        <w:tc>
          <w:tcPr>
            <w:tcW w:w="1051" w:type="dxa"/>
            <w:vMerge/>
            <w:tcBorders>
              <w:top w:val="nil"/>
              <w:left w:val="single" w:sz="4" w:space="0" w:color="000000"/>
              <w:right w:val="single" w:sz="4" w:space="0" w:color="000000"/>
            </w:tcBorders>
          </w:tcPr>
          <w:p>
            <w:pPr>
              <w:rPr>
                <w:sz w:val="2"/>
                <w:szCs w:val="2"/>
              </w:rPr>
            </w:pPr>
          </w:p>
        </w:tc>
        <w:tc>
          <w:tcPr>
            <w:tcW w:w="1300" w:type="dxa"/>
            <w:vMerge/>
            <w:tcBorders>
              <w:top w:val="nil"/>
              <w:left w:val="single" w:sz="4" w:space="0" w:color="000000"/>
              <w:right w:val="nil"/>
            </w:tcBorders>
          </w:tcPr>
          <w:p>
            <w:pPr>
              <w:rPr>
                <w:sz w:val="2"/>
                <w:szCs w:val="2"/>
              </w:rPr>
            </w:pPr>
          </w:p>
        </w:tc>
      </w:tr>
      <w:tr>
        <w:trPr>
          <w:trHeight w:val="297" w:hRule="atLeast"/>
        </w:trPr>
        <w:tc>
          <w:tcPr>
            <w:tcW w:w="1313" w:type="dxa"/>
            <w:tcBorders>
              <w:left w:val="nil"/>
              <w:bottom w:val="single" w:sz="4" w:space="0" w:color="000000"/>
              <w:right w:val="single" w:sz="4" w:space="0" w:color="000000"/>
            </w:tcBorders>
          </w:tcPr>
          <w:p>
            <w:pPr>
              <w:pStyle w:val="TableParagraph"/>
              <w:spacing w:line="258" w:lineRule="exact" w:before="19"/>
              <w:ind w:left="125" w:right="93"/>
              <w:jc w:val="center"/>
              <w:rPr>
                <w:sz w:val="21"/>
              </w:rPr>
            </w:pPr>
            <w:r>
              <w:rPr>
                <w:sz w:val="21"/>
              </w:rPr>
              <w:t>果林村村民</w:t>
            </w:r>
          </w:p>
        </w:tc>
        <w:tc>
          <w:tcPr>
            <w:tcW w:w="762" w:type="dxa"/>
            <w:tcBorders>
              <w:left w:val="single" w:sz="4" w:space="0" w:color="000000"/>
              <w:bottom w:val="single" w:sz="4" w:space="0" w:color="000000"/>
              <w:right w:val="single" w:sz="4" w:space="0" w:color="000000"/>
            </w:tcBorders>
          </w:tcPr>
          <w:p>
            <w:pPr>
              <w:pStyle w:val="TableParagraph"/>
              <w:spacing w:before="33"/>
              <w:ind w:left="176" w:right="149"/>
              <w:jc w:val="center"/>
              <w:rPr>
                <w:rFonts w:ascii="Times New Roman"/>
                <w:sz w:val="21"/>
              </w:rPr>
            </w:pPr>
            <w:r>
              <w:rPr>
                <w:rFonts w:ascii="Times New Roman"/>
                <w:sz w:val="21"/>
              </w:rPr>
              <w:t>147</w:t>
            </w:r>
          </w:p>
        </w:tc>
        <w:tc>
          <w:tcPr>
            <w:tcW w:w="766" w:type="dxa"/>
            <w:tcBorders>
              <w:left w:val="single" w:sz="4" w:space="0" w:color="000000"/>
              <w:bottom w:val="single" w:sz="4" w:space="0" w:color="000000"/>
              <w:right w:val="single" w:sz="4" w:space="0" w:color="000000"/>
            </w:tcBorders>
          </w:tcPr>
          <w:p>
            <w:pPr>
              <w:pStyle w:val="TableParagraph"/>
              <w:spacing w:before="33"/>
              <w:ind w:left="215" w:right="185"/>
              <w:jc w:val="center"/>
              <w:rPr>
                <w:rFonts w:ascii="Times New Roman"/>
                <w:sz w:val="21"/>
              </w:rPr>
            </w:pPr>
            <w:r>
              <w:rPr>
                <w:rFonts w:ascii="Times New Roman"/>
                <w:sz w:val="21"/>
              </w:rPr>
              <w:t>40</w:t>
            </w:r>
          </w:p>
        </w:tc>
        <w:tc>
          <w:tcPr>
            <w:tcW w:w="1148" w:type="dxa"/>
            <w:vMerge w:val="restart"/>
            <w:tcBorders>
              <w:left w:val="single" w:sz="4" w:space="0" w:color="000000"/>
              <w:right w:val="single" w:sz="4" w:space="0" w:color="000000"/>
            </w:tcBorders>
          </w:tcPr>
          <w:p>
            <w:pPr>
              <w:pStyle w:val="TableParagraph"/>
              <w:rPr>
                <w:b/>
                <w:sz w:val="20"/>
              </w:rPr>
            </w:pPr>
          </w:p>
          <w:p>
            <w:pPr>
              <w:pStyle w:val="TableParagraph"/>
              <w:spacing w:before="10"/>
              <w:rPr>
                <w:b/>
                <w:sz w:val="20"/>
              </w:rPr>
            </w:pPr>
          </w:p>
          <w:p>
            <w:pPr>
              <w:pStyle w:val="TableParagraph"/>
              <w:ind w:left="163"/>
              <w:rPr>
                <w:sz w:val="21"/>
              </w:rPr>
            </w:pPr>
            <w:r>
              <w:rPr>
                <w:sz w:val="21"/>
              </w:rPr>
              <w:t>住户人群</w:t>
            </w:r>
          </w:p>
        </w:tc>
        <w:tc>
          <w:tcPr>
            <w:tcW w:w="1773" w:type="dxa"/>
            <w:tcBorders>
              <w:left w:val="single" w:sz="4" w:space="0" w:color="000000"/>
              <w:bottom w:val="single" w:sz="4" w:space="0" w:color="000000"/>
              <w:right w:val="single" w:sz="4" w:space="0" w:color="000000"/>
            </w:tcBorders>
          </w:tcPr>
          <w:p>
            <w:pPr>
              <w:pStyle w:val="TableParagraph"/>
              <w:spacing w:line="258" w:lineRule="exact" w:before="19"/>
              <w:ind w:left="97" w:right="69"/>
              <w:jc w:val="center"/>
              <w:rPr>
                <w:sz w:val="21"/>
              </w:rPr>
            </w:pPr>
            <w:r>
              <w:rPr>
                <w:rFonts w:ascii="Times New Roman" w:eastAsia="Times New Roman"/>
                <w:sz w:val="21"/>
              </w:rPr>
              <w:t>20 </w:t>
            </w:r>
            <w:r>
              <w:rPr>
                <w:sz w:val="21"/>
              </w:rPr>
              <w:t>户</w:t>
            </w:r>
            <w:r>
              <w:rPr>
                <w:rFonts w:ascii="Times New Roman" w:eastAsia="Times New Roman"/>
                <w:sz w:val="21"/>
              </w:rPr>
              <w:t>/75 </w:t>
            </w:r>
            <w:r>
              <w:rPr>
                <w:sz w:val="21"/>
              </w:rPr>
              <w:t>人</w:t>
            </w:r>
          </w:p>
        </w:tc>
        <w:tc>
          <w:tcPr>
            <w:tcW w:w="852" w:type="dxa"/>
            <w:vMerge w:val="restart"/>
            <w:tcBorders>
              <w:left w:val="single" w:sz="4" w:space="0" w:color="000000"/>
              <w:right w:val="single" w:sz="4" w:space="0" w:color="000000"/>
            </w:tcBorders>
          </w:tcPr>
          <w:p>
            <w:pPr>
              <w:pStyle w:val="TableParagraph"/>
              <w:rPr>
                <w:b/>
                <w:sz w:val="20"/>
              </w:rPr>
            </w:pPr>
          </w:p>
          <w:p>
            <w:pPr>
              <w:pStyle w:val="TableParagraph"/>
              <w:spacing w:before="10"/>
              <w:rPr>
                <w:b/>
                <w:sz w:val="20"/>
              </w:rPr>
            </w:pPr>
          </w:p>
          <w:p>
            <w:pPr>
              <w:pStyle w:val="TableParagraph"/>
              <w:ind w:left="119"/>
              <w:rPr>
                <w:sz w:val="21"/>
              </w:rPr>
            </w:pPr>
            <w:r>
              <w:rPr>
                <w:sz w:val="21"/>
              </w:rPr>
              <w:t>二类区</w:t>
            </w:r>
          </w:p>
        </w:tc>
        <w:tc>
          <w:tcPr>
            <w:tcW w:w="1051" w:type="dxa"/>
            <w:tcBorders>
              <w:left w:val="single" w:sz="4" w:space="0" w:color="000000"/>
              <w:bottom w:val="single" w:sz="4" w:space="0" w:color="000000"/>
              <w:right w:val="single" w:sz="4" w:space="0" w:color="000000"/>
            </w:tcBorders>
          </w:tcPr>
          <w:p>
            <w:pPr>
              <w:pStyle w:val="TableParagraph"/>
              <w:spacing w:before="33"/>
              <w:ind w:left="375" w:right="346"/>
              <w:jc w:val="center"/>
              <w:rPr>
                <w:rFonts w:ascii="Times New Roman"/>
                <w:sz w:val="21"/>
              </w:rPr>
            </w:pPr>
            <w:r>
              <w:rPr>
                <w:rFonts w:ascii="Times New Roman"/>
                <w:sz w:val="21"/>
              </w:rPr>
              <w:t>NE</w:t>
            </w:r>
          </w:p>
        </w:tc>
        <w:tc>
          <w:tcPr>
            <w:tcW w:w="1300" w:type="dxa"/>
            <w:tcBorders>
              <w:left w:val="single" w:sz="4" w:space="0" w:color="000000"/>
              <w:bottom w:val="single" w:sz="4" w:space="0" w:color="000000"/>
              <w:right w:val="nil"/>
            </w:tcBorders>
          </w:tcPr>
          <w:p>
            <w:pPr>
              <w:pStyle w:val="TableParagraph"/>
              <w:spacing w:before="33"/>
              <w:ind w:left="287"/>
              <w:rPr>
                <w:rFonts w:ascii="Times New Roman"/>
                <w:sz w:val="21"/>
              </w:rPr>
            </w:pPr>
            <w:r>
              <w:rPr>
                <w:rFonts w:ascii="Times New Roman"/>
                <w:sz w:val="21"/>
              </w:rPr>
              <w:t>158~562</w:t>
            </w:r>
          </w:p>
        </w:tc>
      </w:tr>
      <w:tr>
        <w:trPr>
          <w:trHeight w:val="307" w:hRule="atLeast"/>
        </w:trPr>
        <w:tc>
          <w:tcPr>
            <w:tcW w:w="1313" w:type="dxa"/>
            <w:vMerge w:val="restart"/>
            <w:tcBorders>
              <w:top w:val="single" w:sz="4" w:space="0" w:color="000000"/>
              <w:left w:val="nil"/>
              <w:bottom w:val="single" w:sz="4" w:space="0" w:color="000000"/>
              <w:right w:val="single" w:sz="4" w:space="0" w:color="000000"/>
            </w:tcBorders>
          </w:tcPr>
          <w:p>
            <w:pPr>
              <w:pStyle w:val="TableParagraph"/>
              <w:spacing w:before="5"/>
              <w:rPr>
                <w:b/>
                <w:sz w:val="15"/>
              </w:rPr>
            </w:pPr>
          </w:p>
          <w:p>
            <w:pPr>
              <w:pStyle w:val="TableParagraph"/>
              <w:spacing w:before="1"/>
              <w:ind w:left="145"/>
              <w:rPr>
                <w:sz w:val="21"/>
              </w:rPr>
            </w:pPr>
            <w:r>
              <w:rPr>
                <w:sz w:val="21"/>
              </w:rPr>
              <w:t>金坑村村民</w:t>
            </w:r>
          </w:p>
        </w:tc>
        <w:tc>
          <w:tcPr>
            <w:tcW w:w="762" w:type="dxa"/>
            <w:tcBorders>
              <w:top w:val="single" w:sz="4" w:space="0" w:color="000000"/>
              <w:left w:val="single" w:sz="4" w:space="0" w:color="000000"/>
              <w:bottom w:val="single" w:sz="4" w:space="0" w:color="000000"/>
              <w:right w:val="single" w:sz="4" w:space="0" w:color="000000"/>
            </w:tcBorders>
          </w:tcPr>
          <w:p>
            <w:pPr>
              <w:pStyle w:val="TableParagraph"/>
              <w:spacing w:before="41"/>
              <w:ind w:left="176" w:right="149"/>
              <w:jc w:val="center"/>
              <w:rPr>
                <w:rFonts w:ascii="Times New Roman"/>
                <w:sz w:val="21"/>
              </w:rPr>
            </w:pPr>
            <w:r>
              <w:rPr>
                <w:rFonts w:ascii="Times New Roman"/>
                <w:sz w:val="21"/>
              </w:rPr>
              <w:t>76</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41"/>
              <w:ind w:left="213" w:right="185"/>
              <w:jc w:val="center"/>
              <w:rPr>
                <w:rFonts w:ascii="Times New Roman"/>
                <w:sz w:val="21"/>
              </w:rPr>
            </w:pPr>
            <w:r>
              <w:rPr>
                <w:rFonts w:ascii="Times New Roman"/>
                <w:sz w:val="21"/>
              </w:rPr>
              <w:t>-80</w:t>
            </w:r>
          </w:p>
        </w:tc>
        <w:tc>
          <w:tcPr>
            <w:tcW w:w="1148" w:type="dxa"/>
            <w:vMerge/>
            <w:tcBorders>
              <w:top w:val="nil"/>
              <w:left w:val="single" w:sz="4" w:space="0" w:color="000000"/>
              <w:right w:val="single" w:sz="4" w:space="0" w:color="000000"/>
            </w:tcBorders>
          </w:tcPr>
          <w:p>
            <w:pPr>
              <w:rPr>
                <w:sz w:val="2"/>
                <w:szCs w:val="2"/>
              </w:rPr>
            </w:pPr>
          </w:p>
        </w:tc>
        <w:tc>
          <w:tcPr>
            <w:tcW w:w="1773"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before="37"/>
              <w:ind w:left="97" w:right="70"/>
              <w:jc w:val="center"/>
              <w:rPr>
                <w:sz w:val="20"/>
              </w:rPr>
            </w:pPr>
            <w:r>
              <w:rPr>
                <w:rFonts w:ascii="Times New Roman" w:eastAsia="Times New Roman"/>
                <w:sz w:val="20"/>
              </w:rPr>
              <w:t>120 </w:t>
            </w:r>
            <w:r>
              <w:rPr>
                <w:sz w:val="20"/>
              </w:rPr>
              <w:t>余户</w:t>
            </w:r>
            <w:r>
              <w:rPr>
                <w:rFonts w:ascii="Times New Roman" w:eastAsia="Times New Roman"/>
                <w:sz w:val="20"/>
              </w:rPr>
              <w:t>/390 </w:t>
            </w:r>
            <w:r>
              <w:rPr>
                <w:sz w:val="20"/>
              </w:rPr>
              <w:t>余人</w:t>
            </w:r>
          </w:p>
        </w:tc>
        <w:tc>
          <w:tcPr>
            <w:tcW w:w="852" w:type="dxa"/>
            <w:vMerge/>
            <w:tcBorders>
              <w:top w:val="nil"/>
              <w:left w:val="single" w:sz="4" w:space="0" w:color="000000"/>
              <w:right w:val="single" w:sz="4" w:space="0" w:color="000000"/>
            </w:tcBorders>
          </w:tcPr>
          <w:p>
            <w:pPr>
              <w:rPr>
                <w:sz w:val="2"/>
                <w:szCs w:val="2"/>
              </w:rPr>
            </w:pPr>
          </w:p>
        </w:tc>
        <w:tc>
          <w:tcPr>
            <w:tcW w:w="1051" w:type="dxa"/>
            <w:tcBorders>
              <w:top w:val="single" w:sz="4" w:space="0" w:color="000000"/>
              <w:left w:val="single" w:sz="4" w:space="0" w:color="000000"/>
              <w:bottom w:val="single" w:sz="4" w:space="0" w:color="000000"/>
              <w:right w:val="single" w:sz="4" w:space="0" w:color="000000"/>
            </w:tcBorders>
          </w:tcPr>
          <w:p>
            <w:pPr>
              <w:pStyle w:val="TableParagraph"/>
              <w:spacing w:before="41"/>
              <w:ind w:left="372" w:right="346"/>
              <w:jc w:val="center"/>
              <w:rPr>
                <w:rFonts w:ascii="Times New Roman"/>
                <w:sz w:val="21"/>
              </w:rPr>
            </w:pPr>
            <w:r>
              <w:rPr>
                <w:rFonts w:ascii="Times New Roman"/>
                <w:sz w:val="21"/>
              </w:rPr>
              <w:t>SE</w:t>
            </w:r>
          </w:p>
        </w:tc>
        <w:tc>
          <w:tcPr>
            <w:tcW w:w="1300" w:type="dxa"/>
            <w:tcBorders>
              <w:top w:val="single" w:sz="4" w:space="0" w:color="000000"/>
              <w:left w:val="single" w:sz="4" w:space="0" w:color="000000"/>
              <w:bottom w:val="single" w:sz="4" w:space="0" w:color="000000"/>
              <w:right w:val="nil"/>
            </w:tcBorders>
          </w:tcPr>
          <w:p>
            <w:pPr>
              <w:pStyle w:val="TableParagraph"/>
              <w:spacing w:before="39"/>
              <w:ind w:left="235"/>
              <w:rPr>
                <w:rFonts w:ascii="Times New Roman"/>
                <w:sz w:val="21"/>
              </w:rPr>
            </w:pPr>
            <w:r>
              <w:rPr>
                <w:rFonts w:ascii="Times New Roman"/>
                <w:sz w:val="21"/>
              </w:rPr>
              <w:t>120~1278</w:t>
            </w:r>
          </w:p>
        </w:tc>
      </w:tr>
      <w:tr>
        <w:trPr>
          <w:trHeight w:val="305" w:hRule="atLeast"/>
        </w:trPr>
        <w:tc>
          <w:tcPr>
            <w:tcW w:w="1313" w:type="dxa"/>
            <w:vMerge/>
            <w:tcBorders>
              <w:top w:val="nil"/>
              <w:left w:val="nil"/>
              <w:bottom w:val="single" w:sz="4" w:space="0" w:color="000000"/>
              <w:right w:val="single" w:sz="4" w:space="0" w:color="000000"/>
            </w:tcBorders>
          </w:tcPr>
          <w:p>
            <w:pPr>
              <w:rPr>
                <w:sz w:val="2"/>
                <w:szCs w:val="2"/>
              </w:rPr>
            </w:pPr>
          </w:p>
        </w:tc>
        <w:tc>
          <w:tcPr>
            <w:tcW w:w="762" w:type="dxa"/>
            <w:tcBorders>
              <w:top w:val="single" w:sz="4" w:space="0" w:color="000000"/>
              <w:left w:val="single" w:sz="4" w:space="0" w:color="000000"/>
              <w:bottom w:val="single" w:sz="4" w:space="0" w:color="000000"/>
              <w:right w:val="single" w:sz="4" w:space="0" w:color="000000"/>
            </w:tcBorders>
          </w:tcPr>
          <w:p>
            <w:pPr>
              <w:pStyle w:val="TableParagraph"/>
              <w:spacing w:before="43"/>
              <w:ind w:left="178" w:right="149"/>
              <w:jc w:val="center"/>
              <w:rPr>
                <w:rFonts w:ascii="Times New Roman"/>
                <w:sz w:val="21"/>
              </w:rPr>
            </w:pPr>
            <w:r>
              <w:rPr>
                <w:rFonts w:ascii="Times New Roman"/>
                <w:sz w:val="21"/>
              </w:rPr>
              <w:t>-342</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43"/>
              <w:ind w:left="215" w:right="185"/>
              <w:jc w:val="center"/>
              <w:rPr>
                <w:rFonts w:ascii="Times New Roman"/>
                <w:sz w:val="21"/>
              </w:rPr>
            </w:pPr>
            <w:r>
              <w:rPr>
                <w:rFonts w:ascii="Times New Roman"/>
                <w:sz w:val="21"/>
              </w:rPr>
              <w:t>32</w:t>
            </w:r>
          </w:p>
        </w:tc>
        <w:tc>
          <w:tcPr>
            <w:tcW w:w="1148" w:type="dxa"/>
            <w:vMerge/>
            <w:tcBorders>
              <w:top w:val="nil"/>
              <w:left w:val="single" w:sz="4" w:space="0" w:color="000000"/>
              <w:right w:val="single" w:sz="4" w:space="0" w:color="000000"/>
            </w:tcBorders>
          </w:tcPr>
          <w:p>
            <w:pPr>
              <w:rPr>
                <w:sz w:val="2"/>
                <w:szCs w:val="2"/>
              </w:rPr>
            </w:pPr>
          </w:p>
        </w:tc>
        <w:tc>
          <w:tcPr>
            <w:tcW w:w="1773" w:type="dxa"/>
            <w:tcBorders>
              <w:top w:val="single" w:sz="4" w:space="0" w:color="000000"/>
              <w:left w:val="single" w:sz="4" w:space="0" w:color="000000"/>
              <w:bottom w:val="single" w:sz="2" w:space="0" w:color="000000"/>
              <w:right w:val="single" w:sz="4" w:space="0" w:color="000000"/>
            </w:tcBorders>
          </w:tcPr>
          <w:p>
            <w:pPr>
              <w:pStyle w:val="TableParagraph"/>
              <w:spacing w:line="247" w:lineRule="exact" w:before="39"/>
              <w:ind w:left="14" w:right="70"/>
              <w:jc w:val="center"/>
              <w:rPr>
                <w:sz w:val="20"/>
              </w:rPr>
            </w:pPr>
            <w:r>
              <w:rPr>
                <w:rFonts w:ascii="Times New Roman" w:eastAsia="Times New Roman"/>
                <w:sz w:val="20"/>
              </w:rPr>
              <w:t>40 </w:t>
            </w:r>
            <w:r>
              <w:rPr>
                <w:sz w:val="20"/>
              </w:rPr>
              <w:t>余户</w:t>
            </w:r>
            <w:r>
              <w:rPr>
                <w:rFonts w:ascii="Times New Roman" w:eastAsia="Times New Roman"/>
                <w:sz w:val="20"/>
              </w:rPr>
              <w:t>/130 </w:t>
            </w:r>
            <w:r>
              <w:rPr>
                <w:sz w:val="20"/>
              </w:rPr>
              <w:t>余人</w:t>
            </w:r>
          </w:p>
        </w:tc>
        <w:tc>
          <w:tcPr>
            <w:tcW w:w="852" w:type="dxa"/>
            <w:vMerge/>
            <w:tcBorders>
              <w:top w:val="nil"/>
              <w:left w:val="single" w:sz="4" w:space="0" w:color="000000"/>
              <w:right w:val="single" w:sz="4" w:space="0" w:color="000000"/>
            </w:tcBorders>
          </w:tcPr>
          <w:p>
            <w:pPr>
              <w:rPr>
                <w:sz w:val="2"/>
                <w:szCs w:val="2"/>
              </w:rPr>
            </w:pPr>
          </w:p>
        </w:tc>
        <w:tc>
          <w:tcPr>
            <w:tcW w:w="1051" w:type="dxa"/>
            <w:tcBorders>
              <w:top w:val="single" w:sz="4" w:space="0" w:color="000000"/>
              <w:left w:val="single" w:sz="4" w:space="0" w:color="000000"/>
              <w:bottom w:val="single" w:sz="4" w:space="0" w:color="000000"/>
              <w:right w:val="single" w:sz="4" w:space="0" w:color="000000"/>
            </w:tcBorders>
          </w:tcPr>
          <w:p>
            <w:pPr>
              <w:pStyle w:val="TableParagraph"/>
              <w:spacing w:before="43"/>
              <w:ind w:left="29"/>
              <w:jc w:val="center"/>
              <w:rPr>
                <w:rFonts w:ascii="Times New Roman"/>
                <w:sz w:val="21"/>
              </w:rPr>
            </w:pPr>
            <w:r>
              <w:rPr>
                <w:rFonts w:ascii="Times New Roman"/>
                <w:w w:val="99"/>
                <w:sz w:val="21"/>
              </w:rPr>
              <w:t>W</w:t>
            </w:r>
          </w:p>
        </w:tc>
        <w:tc>
          <w:tcPr>
            <w:tcW w:w="1300" w:type="dxa"/>
            <w:tcBorders>
              <w:top w:val="single" w:sz="4" w:space="0" w:color="000000"/>
              <w:left w:val="single" w:sz="4" w:space="0" w:color="000000"/>
              <w:bottom w:val="single" w:sz="4" w:space="0" w:color="000000"/>
              <w:right w:val="nil"/>
            </w:tcBorders>
          </w:tcPr>
          <w:p>
            <w:pPr>
              <w:pStyle w:val="TableParagraph"/>
              <w:spacing w:before="38"/>
              <w:ind w:left="287"/>
              <w:rPr>
                <w:rFonts w:ascii="Times New Roman"/>
                <w:sz w:val="21"/>
              </w:rPr>
            </w:pPr>
            <w:r>
              <w:rPr>
                <w:rFonts w:ascii="Times New Roman"/>
                <w:sz w:val="21"/>
              </w:rPr>
              <w:t>382~730</w:t>
            </w:r>
          </w:p>
        </w:tc>
      </w:tr>
      <w:tr>
        <w:trPr>
          <w:trHeight w:val="317" w:hRule="atLeast"/>
        </w:trPr>
        <w:tc>
          <w:tcPr>
            <w:tcW w:w="1313" w:type="dxa"/>
            <w:tcBorders>
              <w:top w:val="single" w:sz="4" w:space="0" w:color="000000"/>
              <w:left w:val="nil"/>
              <w:right w:val="single" w:sz="4" w:space="0" w:color="000000"/>
            </w:tcBorders>
          </w:tcPr>
          <w:p>
            <w:pPr>
              <w:pStyle w:val="TableParagraph"/>
              <w:spacing w:line="266" w:lineRule="exact" w:before="31"/>
              <w:ind w:left="125" w:right="93"/>
              <w:jc w:val="center"/>
              <w:rPr>
                <w:sz w:val="21"/>
              </w:rPr>
            </w:pPr>
            <w:r>
              <w:rPr>
                <w:sz w:val="21"/>
              </w:rPr>
              <w:t>联合村村民</w:t>
            </w:r>
          </w:p>
        </w:tc>
        <w:tc>
          <w:tcPr>
            <w:tcW w:w="762" w:type="dxa"/>
            <w:tcBorders>
              <w:top w:val="single" w:sz="4" w:space="0" w:color="000000"/>
              <w:left w:val="single" w:sz="4" w:space="0" w:color="000000"/>
              <w:right w:val="single" w:sz="4" w:space="0" w:color="000000"/>
            </w:tcBorders>
          </w:tcPr>
          <w:p>
            <w:pPr>
              <w:pStyle w:val="TableParagraph"/>
              <w:spacing w:before="43"/>
              <w:ind w:left="176" w:right="149"/>
              <w:jc w:val="center"/>
              <w:rPr>
                <w:rFonts w:ascii="Times New Roman"/>
                <w:sz w:val="21"/>
              </w:rPr>
            </w:pPr>
            <w:r>
              <w:rPr>
                <w:rFonts w:ascii="Times New Roman"/>
                <w:sz w:val="21"/>
              </w:rPr>
              <w:t>47</w:t>
            </w:r>
          </w:p>
        </w:tc>
        <w:tc>
          <w:tcPr>
            <w:tcW w:w="766" w:type="dxa"/>
            <w:tcBorders>
              <w:top w:val="single" w:sz="4" w:space="0" w:color="000000"/>
              <w:left w:val="single" w:sz="4" w:space="0" w:color="000000"/>
              <w:right w:val="single" w:sz="4" w:space="0" w:color="000000"/>
            </w:tcBorders>
          </w:tcPr>
          <w:p>
            <w:pPr>
              <w:pStyle w:val="TableParagraph"/>
              <w:spacing w:before="43"/>
              <w:ind w:left="215" w:right="185"/>
              <w:jc w:val="center"/>
              <w:rPr>
                <w:rFonts w:ascii="Times New Roman"/>
                <w:sz w:val="21"/>
              </w:rPr>
            </w:pPr>
            <w:r>
              <w:rPr>
                <w:rFonts w:ascii="Times New Roman"/>
                <w:sz w:val="21"/>
              </w:rPr>
              <w:t>534</w:t>
            </w:r>
          </w:p>
        </w:tc>
        <w:tc>
          <w:tcPr>
            <w:tcW w:w="1148" w:type="dxa"/>
            <w:vMerge/>
            <w:tcBorders>
              <w:top w:val="nil"/>
              <w:left w:val="single" w:sz="4" w:space="0" w:color="000000"/>
              <w:right w:val="single" w:sz="4" w:space="0" w:color="000000"/>
            </w:tcBorders>
          </w:tcPr>
          <w:p>
            <w:pPr>
              <w:rPr>
                <w:sz w:val="2"/>
                <w:szCs w:val="2"/>
              </w:rPr>
            </w:pPr>
          </w:p>
        </w:tc>
        <w:tc>
          <w:tcPr>
            <w:tcW w:w="1773" w:type="dxa"/>
            <w:tcBorders>
              <w:top w:val="single" w:sz="2" w:space="0" w:color="000000"/>
              <w:left w:val="single" w:sz="2" w:space="0" w:color="000000"/>
              <w:right w:val="single" w:sz="2" w:space="0" w:color="000000"/>
            </w:tcBorders>
          </w:tcPr>
          <w:p>
            <w:pPr>
              <w:pStyle w:val="TableParagraph"/>
              <w:spacing w:before="38"/>
              <w:ind w:left="108" w:right="164"/>
              <w:jc w:val="center"/>
              <w:rPr>
                <w:sz w:val="20"/>
              </w:rPr>
            </w:pPr>
            <w:r>
              <w:rPr>
                <w:rFonts w:ascii="Times New Roman" w:eastAsia="Times New Roman"/>
                <w:sz w:val="20"/>
              </w:rPr>
              <w:t>30 </w:t>
            </w:r>
            <w:r>
              <w:rPr>
                <w:sz w:val="20"/>
              </w:rPr>
              <w:t>余户</w:t>
            </w:r>
            <w:r>
              <w:rPr>
                <w:rFonts w:ascii="Times New Roman" w:eastAsia="Times New Roman"/>
                <w:sz w:val="20"/>
              </w:rPr>
              <w:t>/110 </w:t>
            </w:r>
            <w:r>
              <w:rPr>
                <w:sz w:val="20"/>
              </w:rPr>
              <w:t>余人</w:t>
            </w:r>
          </w:p>
        </w:tc>
        <w:tc>
          <w:tcPr>
            <w:tcW w:w="852" w:type="dxa"/>
            <w:vMerge/>
            <w:tcBorders>
              <w:top w:val="nil"/>
              <w:left w:val="single" w:sz="4" w:space="0" w:color="000000"/>
              <w:right w:val="single" w:sz="4" w:space="0" w:color="000000"/>
            </w:tcBorders>
          </w:tcPr>
          <w:p>
            <w:pPr>
              <w:rPr>
                <w:sz w:val="2"/>
                <w:szCs w:val="2"/>
              </w:rPr>
            </w:pPr>
          </w:p>
        </w:tc>
        <w:tc>
          <w:tcPr>
            <w:tcW w:w="1051" w:type="dxa"/>
            <w:tcBorders>
              <w:top w:val="single" w:sz="4" w:space="0" w:color="000000"/>
              <w:left w:val="single" w:sz="4" w:space="0" w:color="000000"/>
              <w:right w:val="single" w:sz="4" w:space="0" w:color="000000"/>
            </w:tcBorders>
          </w:tcPr>
          <w:p>
            <w:pPr>
              <w:pStyle w:val="TableParagraph"/>
              <w:spacing w:before="42"/>
              <w:ind w:left="30"/>
              <w:jc w:val="center"/>
              <w:rPr>
                <w:rFonts w:ascii="Times New Roman"/>
                <w:sz w:val="21"/>
              </w:rPr>
            </w:pPr>
            <w:r>
              <w:rPr>
                <w:rFonts w:ascii="Times New Roman"/>
                <w:w w:val="99"/>
                <w:sz w:val="21"/>
              </w:rPr>
              <w:t>N</w:t>
            </w:r>
          </w:p>
        </w:tc>
        <w:tc>
          <w:tcPr>
            <w:tcW w:w="1300" w:type="dxa"/>
            <w:tcBorders>
              <w:top w:val="single" w:sz="4" w:space="0" w:color="000000"/>
              <w:left w:val="single" w:sz="4" w:space="0" w:color="000000"/>
              <w:right w:val="nil"/>
            </w:tcBorders>
          </w:tcPr>
          <w:p>
            <w:pPr>
              <w:pStyle w:val="TableParagraph"/>
              <w:spacing w:before="40"/>
              <w:ind w:left="235"/>
              <w:rPr>
                <w:rFonts w:ascii="Times New Roman"/>
                <w:sz w:val="21"/>
              </w:rPr>
            </w:pPr>
            <w:r>
              <w:rPr>
                <w:rFonts w:ascii="Times New Roman"/>
                <w:sz w:val="21"/>
              </w:rPr>
              <w:t>439~2020</w:t>
            </w:r>
          </w:p>
        </w:tc>
      </w:tr>
    </w:tbl>
    <w:p>
      <w:pPr>
        <w:spacing w:line="355" w:lineRule="auto" w:before="111"/>
        <w:ind w:left="335" w:right="414" w:firstLine="420"/>
        <w:jc w:val="both"/>
        <w:rPr>
          <w:b/>
          <w:sz w:val="21"/>
        </w:rPr>
      </w:pPr>
      <w:r>
        <w:rPr>
          <w:b/>
          <w:w w:val="99"/>
          <w:sz w:val="21"/>
        </w:rPr>
        <w:t>注：本次评价以采矿作业面为原点</w:t>
      </w:r>
      <w:r>
        <w:rPr>
          <w:b/>
          <w:spacing w:val="-1"/>
          <w:w w:val="99"/>
          <w:sz w:val="21"/>
        </w:rPr>
        <w:t>（</w:t>
      </w:r>
      <w:r>
        <w:rPr>
          <w:b/>
          <w:spacing w:val="1"/>
          <w:w w:val="99"/>
          <w:sz w:val="21"/>
        </w:rPr>
        <w:t>坐标：</w:t>
      </w:r>
      <w:r>
        <w:rPr>
          <w:rFonts w:ascii="Times New Roman" w:eastAsia="Times New Roman"/>
          <w:b/>
          <w:spacing w:val="1"/>
          <w:w w:val="99"/>
          <w:sz w:val="21"/>
        </w:rPr>
        <w:t>0</w:t>
      </w:r>
      <w:r>
        <w:rPr>
          <w:b/>
          <w:spacing w:val="2"/>
          <w:w w:val="99"/>
          <w:sz w:val="21"/>
        </w:rPr>
        <w:t>，</w:t>
      </w:r>
      <w:r>
        <w:rPr>
          <w:rFonts w:ascii="Times New Roman" w:eastAsia="Times New Roman"/>
          <w:b/>
          <w:spacing w:val="1"/>
          <w:w w:val="99"/>
          <w:sz w:val="21"/>
        </w:rPr>
        <w:t>0</w:t>
      </w:r>
      <w:r>
        <w:rPr>
          <w:b/>
          <w:spacing w:val="-106"/>
          <w:w w:val="99"/>
          <w:sz w:val="21"/>
        </w:rPr>
        <w:t>）</w:t>
      </w:r>
      <w:r>
        <w:rPr>
          <w:b/>
          <w:w w:val="99"/>
          <w:sz w:val="21"/>
        </w:rPr>
        <w:t>，东西方向为</w:t>
      </w:r>
      <w:r>
        <w:rPr>
          <w:b/>
          <w:sz w:val="21"/>
        </w:rPr>
        <w:t> </w:t>
      </w:r>
      <w:r>
        <w:rPr>
          <w:rFonts w:ascii="Times New Roman" w:eastAsia="Times New Roman"/>
          <w:b/>
          <w:w w:val="99"/>
          <w:sz w:val="21"/>
        </w:rPr>
        <w:t>X</w:t>
      </w:r>
      <w:r>
        <w:rPr>
          <w:rFonts w:ascii="Times New Roman" w:eastAsia="Times New Roman"/>
          <w:b/>
          <w:sz w:val="21"/>
        </w:rPr>
        <w:t> </w:t>
      </w:r>
      <w:r>
        <w:rPr>
          <w:b/>
          <w:w w:val="99"/>
          <w:sz w:val="21"/>
        </w:rPr>
        <w:t>轴、南北方向为</w:t>
      </w:r>
      <w:r>
        <w:rPr>
          <w:b/>
          <w:spacing w:val="-54"/>
          <w:sz w:val="21"/>
        </w:rPr>
        <w:t> </w:t>
      </w:r>
      <w:r>
        <w:rPr>
          <w:rFonts w:ascii="Times New Roman" w:eastAsia="Times New Roman"/>
          <w:b/>
          <w:w w:val="99"/>
          <w:sz w:val="21"/>
        </w:rPr>
        <w:t>Y</w:t>
      </w:r>
      <w:r>
        <w:rPr>
          <w:rFonts w:ascii="Times New Roman" w:eastAsia="Times New Roman"/>
          <w:b/>
          <w:sz w:val="21"/>
        </w:rPr>
        <w:t> </w:t>
      </w:r>
      <w:r>
        <w:rPr>
          <w:b/>
          <w:w w:val="99"/>
          <w:sz w:val="21"/>
        </w:rPr>
        <w:t>轴，环境空</w:t>
      </w:r>
      <w:r>
        <w:rPr>
          <w:b/>
          <w:sz w:val="21"/>
        </w:rPr>
        <w:t>气保护目标坐标取距离最近点位位置。</w:t>
      </w:r>
    </w:p>
    <w:p>
      <w:pPr>
        <w:pStyle w:val="Heading2"/>
        <w:spacing w:before="23" w:after="23"/>
        <w:ind w:left="2673"/>
        <w:jc w:val="both"/>
      </w:pPr>
      <w:r>
        <w:rPr/>
        <w:t>表 </w:t>
      </w:r>
      <w:r>
        <w:rPr>
          <w:rFonts w:ascii="Times New Roman" w:eastAsia="Times New Roman"/>
        </w:rPr>
        <w:t>3.5  </w:t>
      </w:r>
      <w:r>
        <w:rPr/>
        <w:t>地表水、声环境保护目标及保护级别</w:t>
      </w:r>
    </w:p>
    <w:tbl>
      <w:tblPr>
        <w:tblW w:w="0" w:type="auto"/>
        <w:jc w:val="left"/>
        <w:tblInd w:w="3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9"/>
        <w:gridCol w:w="1470"/>
        <w:gridCol w:w="2100"/>
        <w:gridCol w:w="1155"/>
        <w:gridCol w:w="3370"/>
      </w:tblGrid>
      <w:tr>
        <w:trPr>
          <w:trHeight w:val="310" w:hRule="atLeast"/>
        </w:trPr>
        <w:tc>
          <w:tcPr>
            <w:tcW w:w="1159" w:type="dxa"/>
            <w:tcBorders>
              <w:left w:val="nil"/>
              <w:bottom w:val="single" w:sz="2" w:space="0" w:color="000000"/>
              <w:right w:val="single" w:sz="4" w:space="0" w:color="000000"/>
            </w:tcBorders>
          </w:tcPr>
          <w:p>
            <w:pPr>
              <w:pStyle w:val="TableParagraph"/>
              <w:spacing w:before="18"/>
              <w:ind w:left="152" w:right="118"/>
              <w:jc w:val="center"/>
              <w:rPr>
                <w:b/>
                <w:sz w:val="21"/>
              </w:rPr>
            </w:pPr>
            <w:r>
              <w:rPr>
                <w:b/>
                <w:sz w:val="21"/>
              </w:rPr>
              <w:t>环境要素</w:t>
            </w:r>
          </w:p>
        </w:tc>
        <w:tc>
          <w:tcPr>
            <w:tcW w:w="1470" w:type="dxa"/>
            <w:tcBorders>
              <w:left w:val="single" w:sz="4" w:space="0" w:color="000000"/>
              <w:bottom w:val="single" w:sz="2" w:space="0" w:color="000000"/>
              <w:right w:val="single" w:sz="4" w:space="0" w:color="000000"/>
            </w:tcBorders>
          </w:tcPr>
          <w:p>
            <w:pPr>
              <w:pStyle w:val="TableParagraph"/>
              <w:spacing w:before="18"/>
              <w:ind w:left="62" w:right="31"/>
              <w:jc w:val="center"/>
              <w:rPr>
                <w:b/>
                <w:sz w:val="21"/>
              </w:rPr>
            </w:pPr>
            <w:r>
              <w:rPr>
                <w:b/>
                <w:sz w:val="21"/>
              </w:rPr>
              <w:t>保护对象</w:t>
            </w:r>
          </w:p>
        </w:tc>
        <w:tc>
          <w:tcPr>
            <w:tcW w:w="2100" w:type="dxa"/>
            <w:tcBorders>
              <w:left w:val="single" w:sz="4" w:space="0" w:color="000000"/>
              <w:bottom w:val="single" w:sz="2" w:space="0" w:color="000000"/>
              <w:right w:val="single" w:sz="4" w:space="0" w:color="000000"/>
            </w:tcBorders>
          </w:tcPr>
          <w:p>
            <w:pPr>
              <w:pStyle w:val="TableParagraph"/>
              <w:spacing w:before="18"/>
              <w:ind w:left="640"/>
              <w:rPr>
                <w:b/>
                <w:sz w:val="21"/>
              </w:rPr>
            </w:pPr>
            <w:r>
              <w:rPr>
                <w:b/>
                <w:sz w:val="21"/>
              </w:rPr>
              <w:t>相对位置</w:t>
            </w:r>
          </w:p>
        </w:tc>
        <w:tc>
          <w:tcPr>
            <w:tcW w:w="1155" w:type="dxa"/>
            <w:tcBorders>
              <w:left w:val="single" w:sz="4" w:space="0" w:color="000000"/>
              <w:bottom w:val="single" w:sz="2" w:space="0" w:color="000000"/>
              <w:right w:val="single" w:sz="4" w:space="0" w:color="000000"/>
            </w:tcBorders>
          </w:tcPr>
          <w:p>
            <w:pPr>
              <w:pStyle w:val="TableParagraph"/>
              <w:spacing w:before="18"/>
              <w:ind w:left="376"/>
              <w:rPr>
                <w:b/>
                <w:sz w:val="21"/>
              </w:rPr>
            </w:pPr>
            <w:r>
              <w:rPr>
                <w:b/>
                <w:sz w:val="21"/>
              </w:rPr>
              <w:t>规模</w:t>
            </w:r>
          </w:p>
        </w:tc>
        <w:tc>
          <w:tcPr>
            <w:tcW w:w="3370" w:type="dxa"/>
            <w:tcBorders>
              <w:left w:val="single" w:sz="4" w:space="0" w:color="000000"/>
              <w:bottom w:val="single" w:sz="2" w:space="0" w:color="000000"/>
              <w:right w:val="nil"/>
            </w:tcBorders>
          </w:tcPr>
          <w:p>
            <w:pPr>
              <w:pStyle w:val="TableParagraph"/>
              <w:spacing w:before="18"/>
              <w:ind w:left="135" w:right="107"/>
              <w:jc w:val="center"/>
              <w:rPr>
                <w:b/>
                <w:sz w:val="21"/>
              </w:rPr>
            </w:pPr>
            <w:r>
              <w:rPr>
                <w:b/>
                <w:sz w:val="21"/>
              </w:rPr>
              <w:t>保护级别</w:t>
            </w:r>
          </w:p>
        </w:tc>
      </w:tr>
      <w:tr>
        <w:trPr>
          <w:trHeight w:val="339" w:hRule="atLeast"/>
        </w:trPr>
        <w:tc>
          <w:tcPr>
            <w:tcW w:w="1159" w:type="dxa"/>
            <w:tcBorders>
              <w:top w:val="single" w:sz="2" w:space="0" w:color="000000"/>
              <w:left w:val="nil"/>
              <w:right w:val="single" w:sz="4" w:space="0" w:color="000000"/>
            </w:tcBorders>
          </w:tcPr>
          <w:p>
            <w:pPr>
              <w:pStyle w:val="TableParagraph"/>
              <w:spacing w:before="34"/>
              <w:ind w:left="150" w:right="118"/>
              <w:jc w:val="center"/>
              <w:rPr>
                <w:sz w:val="21"/>
              </w:rPr>
            </w:pPr>
            <w:r>
              <w:rPr>
                <w:sz w:val="21"/>
              </w:rPr>
              <w:t>地表水</w:t>
            </w:r>
          </w:p>
        </w:tc>
        <w:tc>
          <w:tcPr>
            <w:tcW w:w="1470" w:type="dxa"/>
            <w:tcBorders>
              <w:top w:val="single" w:sz="2" w:space="0" w:color="000000"/>
              <w:left w:val="single" w:sz="4" w:space="0" w:color="000000"/>
              <w:right w:val="single" w:sz="4" w:space="0" w:color="000000"/>
            </w:tcBorders>
          </w:tcPr>
          <w:p>
            <w:pPr>
              <w:pStyle w:val="TableParagraph"/>
              <w:spacing w:before="34"/>
              <w:ind w:left="62" w:right="38"/>
              <w:jc w:val="center"/>
              <w:rPr>
                <w:sz w:val="21"/>
              </w:rPr>
            </w:pPr>
            <w:r>
              <w:rPr>
                <w:sz w:val="21"/>
              </w:rPr>
              <w:t>月河</w:t>
            </w:r>
          </w:p>
        </w:tc>
        <w:tc>
          <w:tcPr>
            <w:tcW w:w="2100" w:type="dxa"/>
            <w:tcBorders>
              <w:top w:val="single" w:sz="2" w:space="0" w:color="000000"/>
              <w:left w:val="single" w:sz="4" w:space="0" w:color="000000"/>
              <w:right w:val="single" w:sz="4" w:space="0" w:color="000000"/>
            </w:tcBorders>
          </w:tcPr>
          <w:p>
            <w:pPr>
              <w:pStyle w:val="TableParagraph"/>
              <w:spacing w:before="34"/>
              <w:ind w:left="584"/>
              <w:rPr>
                <w:rFonts w:ascii="Times New Roman" w:eastAsia="Times New Roman"/>
                <w:sz w:val="21"/>
              </w:rPr>
            </w:pPr>
            <w:r>
              <w:rPr>
                <w:sz w:val="21"/>
              </w:rPr>
              <w:t>南侧 </w:t>
            </w:r>
            <w:r>
              <w:rPr>
                <w:rFonts w:ascii="Times New Roman" w:eastAsia="Times New Roman"/>
                <w:sz w:val="21"/>
              </w:rPr>
              <w:t>890m</w:t>
            </w:r>
          </w:p>
        </w:tc>
        <w:tc>
          <w:tcPr>
            <w:tcW w:w="1155" w:type="dxa"/>
            <w:tcBorders>
              <w:top w:val="single" w:sz="2" w:space="0" w:color="000000"/>
              <w:left w:val="single" w:sz="4" w:space="0" w:color="000000"/>
              <w:right w:val="single" w:sz="4" w:space="0" w:color="000000"/>
            </w:tcBorders>
          </w:tcPr>
          <w:p>
            <w:pPr>
              <w:pStyle w:val="TableParagraph"/>
              <w:spacing w:before="34"/>
              <w:ind w:left="376"/>
              <w:rPr>
                <w:sz w:val="21"/>
              </w:rPr>
            </w:pPr>
            <w:r>
              <w:rPr>
                <w:sz w:val="21"/>
              </w:rPr>
              <w:t>小河</w:t>
            </w:r>
          </w:p>
        </w:tc>
        <w:tc>
          <w:tcPr>
            <w:tcW w:w="3370" w:type="dxa"/>
            <w:tcBorders>
              <w:top w:val="single" w:sz="2" w:space="0" w:color="000000"/>
              <w:left w:val="single" w:sz="4" w:space="0" w:color="000000"/>
              <w:right w:val="nil"/>
            </w:tcBorders>
          </w:tcPr>
          <w:p>
            <w:pPr>
              <w:pStyle w:val="TableParagraph"/>
              <w:spacing w:before="34"/>
              <w:ind w:left="135" w:right="114"/>
              <w:jc w:val="center"/>
              <w:rPr>
                <w:sz w:val="21"/>
              </w:rPr>
            </w:pPr>
            <w:r>
              <w:rPr>
                <w:sz w:val="21"/>
              </w:rPr>
              <w:t>《地表水环境质量标准》</w:t>
            </w:r>
            <w:r>
              <w:rPr>
                <w:rFonts w:ascii="Times New Roman" w:hAnsi="Times New Roman" w:eastAsia="Times New Roman"/>
                <w:sz w:val="21"/>
              </w:rPr>
              <w:t>Ⅱ</w:t>
            </w:r>
            <w:r>
              <w:rPr>
                <w:sz w:val="21"/>
              </w:rPr>
              <w:t>类标准</w:t>
            </w:r>
          </w:p>
        </w:tc>
      </w:tr>
    </w:tbl>
    <w:p>
      <w:pPr>
        <w:spacing w:after="0"/>
        <w:jc w:val="center"/>
        <w:rPr>
          <w:sz w:val="21"/>
        </w:rPr>
        <w:sectPr>
          <w:pgSz w:w="11910" w:h="16840"/>
          <w:pgMar w:header="0" w:footer="770" w:top="1220" w:bottom="1040" w:left="1020" w:right="880"/>
        </w:sectPr>
      </w:pPr>
    </w:p>
    <w:p>
      <w:pPr>
        <w:pStyle w:val="Heading1"/>
        <w:numPr>
          <w:ilvl w:val="0"/>
          <w:numId w:val="2"/>
        </w:numPr>
        <w:tabs>
          <w:tab w:pos="437" w:val="left" w:leader="none"/>
        </w:tabs>
        <w:spacing w:line="240" w:lineRule="auto" w:before="60" w:after="0"/>
        <w:ind w:left="436" w:right="0" w:hanging="210"/>
        <w:jc w:val="left"/>
      </w:pPr>
      <w:r>
        <w:rPr/>
        <w:pict>
          <v:shape style="position:absolute;margin-left:99.230003pt;margin-top:114.579979pt;width:428.05pt;height:172.05pt;mso-position-horizontal-relative:page;mso-position-vertical-relative:paragraph;z-index:251669504"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78"/>
                    <w:gridCol w:w="951"/>
                    <w:gridCol w:w="1333"/>
                    <w:gridCol w:w="1403"/>
                    <w:gridCol w:w="1640"/>
                    <w:gridCol w:w="1412"/>
                  </w:tblGrid>
                  <w:tr>
                    <w:trPr>
                      <w:trHeight w:val="316" w:hRule="atLeast"/>
                    </w:trPr>
                    <w:tc>
                      <w:tcPr>
                        <w:tcW w:w="1778" w:type="dxa"/>
                        <w:vMerge w:val="restart"/>
                        <w:tcBorders>
                          <w:left w:val="nil"/>
                          <w:bottom w:val="single" w:sz="4" w:space="0" w:color="000000"/>
                          <w:right w:val="single" w:sz="4" w:space="0" w:color="000000"/>
                        </w:tcBorders>
                      </w:tcPr>
                      <w:p>
                        <w:pPr>
                          <w:pStyle w:val="TableParagraph"/>
                          <w:spacing w:before="2"/>
                          <w:rPr>
                            <w:rFonts w:ascii="黑体"/>
                            <w:sz w:val="15"/>
                          </w:rPr>
                        </w:pPr>
                      </w:p>
                      <w:p>
                        <w:pPr>
                          <w:pStyle w:val="TableParagraph"/>
                          <w:ind w:left="482"/>
                          <w:rPr>
                            <w:sz w:val="21"/>
                          </w:rPr>
                        </w:pPr>
                        <w:r>
                          <w:rPr>
                            <w:sz w:val="21"/>
                          </w:rPr>
                          <w:t>执行标准</w:t>
                        </w:r>
                      </w:p>
                    </w:tc>
                    <w:tc>
                      <w:tcPr>
                        <w:tcW w:w="951" w:type="dxa"/>
                        <w:vMerge w:val="restart"/>
                        <w:tcBorders>
                          <w:left w:val="single" w:sz="4" w:space="0" w:color="000000"/>
                          <w:bottom w:val="single" w:sz="4" w:space="0" w:color="000000"/>
                          <w:right w:val="single" w:sz="4" w:space="0" w:color="000000"/>
                        </w:tcBorders>
                      </w:tcPr>
                      <w:p>
                        <w:pPr>
                          <w:pStyle w:val="TableParagraph"/>
                          <w:spacing w:before="2"/>
                          <w:rPr>
                            <w:rFonts w:ascii="黑体"/>
                            <w:sz w:val="15"/>
                          </w:rPr>
                        </w:pPr>
                      </w:p>
                      <w:p>
                        <w:pPr>
                          <w:pStyle w:val="TableParagraph"/>
                          <w:ind w:left="274"/>
                          <w:rPr>
                            <w:sz w:val="21"/>
                          </w:rPr>
                        </w:pPr>
                        <w:r>
                          <w:rPr>
                            <w:sz w:val="21"/>
                          </w:rPr>
                          <w:t>级别</w:t>
                        </w:r>
                      </w:p>
                    </w:tc>
                    <w:tc>
                      <w:tcPr>
                        <w:tcW w:w="1333" w:type="dxa"/>
                        <w:vMerge w:val="restart"/>
                        <w:tcBorders>
                          <w:left w:val="single" w:sz="4" w:space="0" w:color="000000"/>
                          <w:bottom w:val="single" w:sz="4" w:space="0" w:color="000000"/>
                          <w:right w:val="single" w:sz="4" w:space="0" w:color="000000"/>
                        </w:tcBorders>
                      </w:tcPr>
                      <w:p>
                        <w:pPr>
                          <w:pStyle w:val="TableParagraph"/>
                          <w:spacing w:line="242" w:lineRule="auto" w:before="60"/>
                          <w:ind w:left="465" w:right="332" w:hanging="106"/>
                          <w:rPr>
                            <w:sz w:val="21"/>
                          </w:rPr>
                        </w:pPr>
                        <w:r>
                          <w:rPr>
                            <w:sz w:val="21"/>
                          </w:rPr>
                          <w:t>污染物项目</w:t>
                        </w:r>
                      </w:p>
                    </w:tc>
                    <w:tc>
                      <w:tcPr>
                        <w:tcW w:w="4455" w:type="dxa"/>
                        <w:gridSpan w:val="3"/>
                        <w:tcBorders>
                          <w:left w:val="single" w:sz="4" w:space="0" w:color="000000"/>
                          <w:bottom w:val="single" w:sz="4" w:space="0" w:color="000000"/>
                          <w:right w:val="nil"/>
                        </w:tcBorders>
                      </w:tcPr>
                      <w:p>
                        <w:pPr>
                          <w:pStyle w:val="TableParagraph"/>
                          <w:spacing w:before="21"/>
                          <w:ind w:left="1794" w:right="1776"/>
                          <w:jc w:val="center"/>
                          <w:rPr>
                            <w:sz w:val="21"/>
                          </w:rPr>
                        </w:pPr>
                        <w:r>
                          <w:rPr>
                            <w:sz w:val="21"/>
                          </w:rPr>
                          <w:t>标准限值</w:t>
                        </w:r>
                      </w:p>
                    </w:tc>
                  </w:tr>
                  <w:tr>
                    <w:trPr>
                      <w:trHeight w:val="335" w:hRule="atLeast"/>
                    </w:trPr>
                    <w:tc>
                      <w:tcPr>
                        <w:tcW w:w="1778" w:type="dxa"/>
                        <w:vMerge/>
                        <w:tcBorders>
                          <w:top w:val="nil"/>
                          <w:left w:val="nil"/>
                          <w:bottom w:val="single" w:sz="4" w:space="0" w:color="000000"/>
                          <w:right w:val="single" w:sz="4" w:space="0" w:color="000000"/>
                        </w:tcBorders>
                      </w:tcPr>
                      <w:p>
                        <w:pPr>
                          <w:rPr>
                            <w:sz w:val="2"/>
                            <w:szCs w:val="2"/>
                          </w:rPr>
                        </w:pPr>
                      </w:p>
                    </w:tc>
                    <w:tc>
                      <w:tcPr>
                        <w:tcW w:w="951" w:type="dxa"/>
                        <w:vMerge/>
                        <w:tcBorders>
                          <w:top w:val="nil"/>
                          <w:left w:val="single" w:sz="4" w:space="0" w:color="000000"/>
                          <w:bottom w:val="single" w:sz="4" w:space="0" w:color="000000"/>
                          <w:right w:val="single" w:sz="4" w:space="0" w:color="000000"/>
                        </w:tcBorders>
                      </w:tcPr>
                      <w:p>
                        <w:pPr>
                          <w:rPr>
                            <w:sz w:val="2"/>
                            <w:szCs w:val="2"/>
                          </w:rPr>
                        </w:pPr>
                      </w:p>
                    </w:tc>
                    <w:tc>
                      <w:tcPr>
                        <w:tcW w:w="1333" w:type="dxa"/>
                        <w:vMerge/>
                        <w:tcBorders>
                          <w:top w:val="nil"/>
                          <w:left w:val="single" w:sz="4" w:space="0" w:color="000000"/>
                          <w:bottom w:val="single" w:sz="4" w:space="0" w:color="000000"/>
                          <w:right w:val="single" w:sz="4" w:space="0" w:color="000000"/>
                        </w:tcBorders>
                      </w:tcPr>
                      <w:p>
                        <w:pPr>
                          <w:rPr>
                            <w:sz w:val="2"/>
                            <w:szCs w:val="2"/>
                          </w:rPr>
                        </w:pP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41"/>
                          <w:ind w:left="190" w:right="165"/>
                          <w:jc w:val="center"/>
                          <w:rPr>
                            <w:sz w:val="21"/>
                          </w:rPr>
                        </w:pPr>
                        <w:r>
                          <w:rPr>
                            <w:rFonts w:ascii="Times New Roman" w:eastAsia="Times New Roman"/>
                            <w:sz w:val="21"/>
                          </w:rPr>
                          <w:t>1 </w:t>
                        </w:r>
                        <w:r>
                          <w:rPr>
                            <w:sz w:val="21"/>
                          </w:rPr>
                          <w:t>小时平均</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41"/>
                          <w:ind w:left="99" w:right="71"/>
                          <w:jc w:val="center"/>
                          <w:rPr>
                            <w:sz w:val="21"/>
                          </w:rPr>
                        </w:pPr>
                        <w:r>
                          <w:rPr>
                            <w:rFonts w:ascii="Times New Roman" w:eastAsia="Times New Roman"/>
                            <w:sz w:val="21"/>
                          </w:rPr>
                          <w:t>24 </w:t>
                        </w:r>
                        <w:r>
                          <w:rPr>
                            <w:sz w:val="21"/>
                          </w:rPr>
                          <w:t>小时平均</w:t>
                        </w:r>
                      </w:p>
                    </w:tc>
                    <w:tc>
                      <w:tcPr>
                        <w:tcW w:w="1412" w:type="dxa"/>
                        <w:tcBorders>
                          <w:top w:val="single" w:sz="4" w:space="0" w:color="000000"/>
                          <w:left w:val="single" w:sz="6" w:space="0" w:color="000000"/>
                          <w:bottom w:val="single" w:sz="4" w:space="0" w:color="000000"/>
                          <w:right w:val="nil"/>
                        </w:tcBorders>
                      </w:tcPr>
                      <w:p>
                        <w:pPr>
                          <w:pStyle w:val="TableParagraph"/>
                          <w:spacing w:before="41"/>
                          <w:ind w:right="376"/>
                          <w:jc w:val="right"/>
                          <w:rPr>
                            <w:sz w:val="21"/>
                          </w:rPr>
                        </w:pPr>
                        <w:r>
                          <w:rPr>
                            <w:w w:val="95"/>
                            <w:sz w:val="21"/>
                          </w:rPr>
                          <w:t>年平均</w:t>
                        </w:r>
                      </w:p>
                    </w:tc>
                  </w:tr>
                  <w:tr>
                    <w:trPr>
                      <w:trHeight w:val="354" w:hRule="atLeast"/>
                    </w:trPr>
                    <w:tc>
                      <w:tcPr>
                        <w:tcW w:w="1778" w:type="dxa"/>
                        <w:vMerge w:val="restart"/>
                        <w:tcBorders>
                          <w:top w:val="single" w:sz="4" w:space="0" w:color="000000"/>
                          <w:left w:val="nil"/>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5"/>
                          <w:rPr>
                            <w:rFonts w:ascii="黑体"/>
                            <w:sz w:val="24"/>
                          </w:rPr>
                        </w:pPr>
                      </w:p>
                      <w:p>
                        <w:pPr>
                          <w:pStyle w:val="TableParagraph"/>
                          <w:spacing w:line="244" w:lineRule="auto" w:before="1"/>
                          <w:ind w:left="588" w:right="133" w:hanging="420"/>
                          <w:rPr>
                            <w:sz w:val="21"/>
                          </w:rPr>
                        </w:pPr>
                        <w:r>
                          <w:rPr>
                            <w:sz w:val="21"/>
                          </w:rPr>
                          <w:t>《环境空气质量标准》</w:t>
                        </w:r>
                      </w:p>
                    </w:tc>
                    <w:tc>
                      <w:tcPr>
                        <w:tcW w:w="951" w:type="dxa"/>
                        <w:vMerge w:val="restart"/>
                        <w:tcBorders>
                          <w:top w:val="single" w:sz="4" w:space="0" w:color="000000"/>
                          <w:left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15"/>
                          </w:rPr>
                        </w:pPr>
                      </w:p>
                      <w:p>
                        <w:pPr>
                          <w:pStyle w:val="TableParagraph"/>
                          <w:spacing w:before="1"/>
                          <w:ind w:left="274"/>
                          <w:rPr>
                            <w:sz w:val="21"/>
                          </w:rPr>
                        </w:pPr>
                        <w:r>
                          <w:rPr>
                            <w:sz w:val="21"/>
                          </w:rPr>
                          <w:t>二级</w:t>
                        </w: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58"/>
                          <w:ind w:right="475"/>
                          <w:jc w:val="right"/>
                          <w:rPr>
                            <w:rFonts w:ascii="Times New Roman"/>
                            <w:sz w:val="21"/>
                          </w:rPr>
                        </w:pPr>
                        <w:r>
                          <w:rPr>
                            <w:rFonts w:ascii="Times New Roman"/>
                            <w:position w:val="2"/>
                            <w:sz w:val="21"/>
                          </w:rPr>
                          <w:t>SO</w:t>
                        </w:r>
                        <w:r>
                          <w:rPr>
                            <w:rFonts w:ascii="Times New Roman"/>
                            <w:position w:val="2"/>
                            <w:sz w:val="21"/>
                            <w:vertAlign w:val="subscript"/>
                          </w:rPr>
                          <w:t>2</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61"/>
                          <w:ind w:left="190" w:right="159"/>
                          <w:jc w:val="center"/>
                          <w:rPr>
                            <w:rFonts w:ascii="Times New Roman" w:hAnsi="Times New Roman"/>
                            <w:sz w:val="13"/>
                          </w:rPr>
                        </w:pPr>
                        <w:r>
                          <w:rPr>
                            <w:rFonts w:ascii="Times New Roman" w:hAnsi="Times New Roman"/>
                            <w:sz w:val="21"/>
                          </w:rPr>
                          <w:t>500μg/m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61"/>
                          <w:ind w:left="99" w:right="68"/>
                          <w:jc w:val="center"/>
                          <w:rPr>
                            <w:rFonts w:ascii="Times New Roman" w:hAnsi="Times New Roman"/>
                            <w:sz w:val="13"/>
                          </w:rPr>
                        </w:pPr>
                        <w:r>
                          <w:rPr>
                            <w:rFonts w:ascii="Times New Roman" w:hAnsi="Times New Roman"/>
                            <w:sz w:val="21"/>
                          </w:rPr>
                          <w:t>150μg/m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61"/>
                          <w:ind w:right="329"/>
                          <w:jc w:val="right"/>
                          <w:rPr>
                            <w:rFonts w:ascii="Times New Roman" w:hAnsi="Times New Roman"/>
                            <w:sz w:val="13"/>
                          </w:rPr>
                        </w:pPr>
                        <w:r>
                          <w:rPr>
                            <w:rFonts w:ascii="Times New Roman" w:hAnsi="Times New Roman"/>
                            <w:sz w:val="21"/>
                          </w:rPr>
                          <w:t>60μg/m</w:t>
                        </w:r>
                        <w:r>
                          <w:rPr>
                            <w:rFonts w:ascii="Times New Roman" w:hAnsi="Times New Roman"/>
                            <w:position w:val="7"/>
                            <w:sz w:val="13"/>
                          </w:rPr>
                          <w:t>3</w:t>
                        </w:r>
                      </w:p>
                    </w:tc>
                  </w:tr>
                  <w:tr>
                    <w:trPr>
                      <w:trHeight w:val="34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9"/>
                          <w:ind w:right="458"/>
                          <w:jc w:val="right"/>
                          <w:rPr>
                            <w:rFonts w:ascii="Times New Roman"/>
                            <w:sz w:val="21"/>
                          </w:rPr>
                        </w:pPr>
                        <w:r>
                          <w:rPr>
                            <w:rFonts w:ascii="Times New Roman"/>
                            <w:position w:val="2"/>
                            <w:sz w:val="21"/>
                          </w:rPr>
                          <w:t>NO</w:t>
                        </w:r>
                        <w:r>
                          <w:rPr>
                            <w:rFonts w:ascii="Times New Roman"/>
                            <w:position w:val="2"/>
                            <w:sz w:val="21"/>
                            <w:vertAlign w:val="subscript"/>
                          </w:rPr>
                          <w:t>2</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2"/>
                          <w:ind w:left="190" w:right="159"/>
                          <w:jc w:val="center"/>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2"/>
                          <w:ind w:left="99" w:right="68"/>
                          <w:jc w:val="center"/>
                          <w:rPr>
                            <w:rFonts w:ascii="Times New Roman" w:hAnsi="Times New Roman"/>
                            <w:sz w:val="13"/>
                          </w:rPr>
                        </w:pPr>
                        <w:r>
                          <w:rPr>
                            <w:rFonts w:ascii="Times New Roman" w:hAnsi="Times New Roman"/>
                            <w:sz w:val="21"/>
                          </w:rPr>
                          <w:t>80μg/m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2"/>
                          <w:ind w:right="329"/>
                          <w:jc w:val="right"/>
                          <w:rPr>
                            <w:rFonts w:ascii="Times New Roman" w:hAnsi="Times New Roman"/>
                            <w:sz w:val="13"/>
                          </w:rPr>
                        </w:pPr>
                        <w:r>
                          <w:rPr>
                            <w:rFonts w:ascii="Times New Roman" w:hAnsi="Times New Roman"/>
                            <w:sz w:val="21"/>
                          </w:rPr>
                          <w:t>40μg/m</w:t>
                        </w:r>
                        <w:r>
                          <w:rPr>
                            <w:rFonts w:ascii="Times New Roman" w:hAnsi="Times New Roman"/>
                            <w:position w:val="7"/>
                            <w:sz w:val="13"/>
                          </w:rPr>
                          <w:t>3</w:t>
                        </w:r>
                      </w:p>
                    </w:tc>
                  </w:tr>
                  <w:tr>
                    <w:trPr>
                      <w:trHeight w:val="344"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7"/>
                          <w:ind w:right="424"/>
                          <w:jc w:val="right"/>
                          <w:rPr>
                            <w:rFonts w:ascii="Times New Roman"/>
                            <w:sz w:val="21"/>
                          </w:rPr>
                        </w:pPr>
                        <w:r>
                          <w:rPr>
                            <w:rFonts w:ascii="Times New Roman"/>
                            <w:position w:val="2"/>
                            <w:sz w:val="21"/>
                          </w:rPr>
                          <w:t>PM</w:t>
                        </w:r>
                        <w:r>
                          <w:rPr>
                            <w:rFonts w:ascii="Times New Roman"/>
                            <w:position w:val="2"/>
                            <w:sz w:val="21"/>
                            <w:vertAlign w:val="subscript"/>
                          </w:rPr>
                          <w:t>10</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0"/>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0"/>
                          <w:ind w:left="99" w:right="68"/>
                          <w:jc w:val="center"/>
                          <w:rPr>
                            <w:rFonts w:ascii="Times New Roman" w:hAnsi="Times New Roman"/>
                            <w:sz w:val="13"/>
                          </w:rPr>
                        </w:pPr>
                        <w:r>
                          <w:rPr>
                            <w:rFonts w:ascii="Times New Roman" w:hAnsi="Times New Roman"/>
                            <w:sz w:val="21"/>
                          </w:rPr>
                          <w:t>150μg/m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0"/>
                          <w:ind w:right="329"/>
                          <w:jc w:val="right"/>
                          <w:rPr>
                            <w:rFonts w:ascii="Times New Roman" w:hAnsi="Times New Roman"/>
                            <w:sz w:val="13"/>
                          </w:rPr>
                        </w:pPr>
                        <w:r>
                          <w:rPr>
                            <w:rFonts w:ascii="Times New Roman" w:hAnsi="Times New Roman"/>
                            <w:sz w:val="21"/>
                          </w:rPr>
                          <w:t>70μg/m</w:t>
                        </w:r>
                        <w:r>
                          <w:rPr>
                            <w:rFonts w:ascii="Times New Roman" w:hAnsi="Times New Roman"/>
                            <w:position w:val="7"/>
                            <w:sz w:val="13"/>
                          </w:rPr>
                          <w:t>3</w:t>
                        </w:r>
                      </w:p>
                    </w:tc>
                  </w:tr>
                  <w:tr>
                    <w:trPr>
                      <w:trHeight w:val="344"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7"/>
                          <w:ind w:right="407"/>
                          <w:jc w:val="right"/>
                          <w:rPr>
                            <w:rFonts w:ascii="Times New Roman"/>
                            <w:sz w:val="13"/>
                          </w:rPr>
                        </w:pPr>
                        <w:r>
                          <w:rPr>
                            <w:rFonts w:ascii="Times New Roman"/>
                            <w:position w:val="2"/>
                            <w:sz w:val="21"/>
                          </w:rPr>
                          <w:t>PM</w:t>
                        </w:r>
                        <w:r>
                          <w:rPr>
                            <w:rFonts w:ascii="Times New Roman"/>
                            <w:sz w:val="13"/>
                          </w:rPr>
                          <w:t>2.5</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0"/>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0"/>
                          <w:ind w:left="99" w:right="68"/>
                          <w:jc w:val="center"/>
                          <w:rPr>
                            <w:rFonts w:ascii="Times New Roman" w:hAnsi="Times New Roman"/>
                            <w:sz w:val="13"/>
                          </w:rPr>
                        </w:pPr>
                        <w:r>
                          <w:rPr>
                            <w:rFonts w:ascii="Times New Roman" w:hAnsi="Times New Roman"/>
                            <w:sz w:val="21"/>
                          </w:rPr>
                          <w:t>75μg/m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0"/>
                          <w:ind w:right="329"/>
                          <w:jc w:val="right"/>
                          <w:rPr>
                            <w:rFonts w:ascii="Times New Roman" w:hAnsi="Times New Roman"/>
                            <w:sz w:val="13"/>
                          </w:rPr>
                        </w:pPr>
                        <w:r>
                          <w:rPr>
                            <w:rFonts w:ascii="Times New Roman" w:hAnsi="Times New Roman"/>
                            <w:sz w:val="21"/>
                          </w:rPr>
                          <w:t>35μg/m</w:t>
                        </w:r>
                        <w:r>
                          <w:rPr>
                            <w:rFonts w:ascii="Times New Roman" w:hAnsi="Times New Roman"/>
                            <w:position w:val="7"/>
                            <w:sz w:val="13"/>
                          </w:rPr>
                          <w:t>3</w:t>
                        </w:r>
                      </w:p>
                    </w:tc>
                  </w:tr>
                  <w:tr>
                    <w:trPr>
                      <w:trHeight w:val="34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51"/>
                          <w:ind w:left="509" w:right="482"/>
                          <w:jc w:val="center"/>
                          <w:rPr>
                            <w:rFonts w:ascii="Times New Roman"/>
                            <w:sz w:val="21"/>
                          </w:rPr>
                        </w:pPr>
                        <w:r>
                          <w:rPr>
                            <w:rFonts w:ascii="Times New Roman"/>
                            <w:sz w:val="21"/>
                          </w:rPr>
                          <w:t>CO</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1"/>
                          <w:ind w:left="190" w:right="159"/>
                          <w:jc w:val="center"/>
                          <w:rPr>
                            <w:rFonts w:ascii="Times New Roman"/>
                            <w:sz w:val="13"/>
                          </w:rPr>
                        </w:pPr>
                        <w:r>
                          <w:rPr>
                            <w:rFonts w:ascii="Times New Roman"/>
                            <w:sz w:val="21"/>
                          </w:rPr>
                          <w:t>10mg/m</w:t>
                        </w:r>
                        <w:r>
                          <w:rPr>
                            <w:rFonts w:asci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1"/>
                          <w:ind w:left="99" w:right="65"/>
                          <w:jc w:val="center"/>
                          <w:rPr>
                            <w:rFonts w:ascii="Times New Roman"/>
                            <w:sz w:val="13"/>
                          </w:rPr>
                        </w:pPr>
                        <w:r>
                          <w:rPr>
                            <w:rFonts w:ascii="Times New Roman"/>
                            <w:sz w:val="21"/>
                          </w:rPr>
                          <w:t>4mg/m</w:t>
                        </w:r>
                        <w:r>
                          <w:rPr>
                            <w:rFonts w:asci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1"/>
                          <w:ind w:left="19"/>
                          <w:jc w:val="center"/>
                          <w:rPr>
                            <w:rFonts w:ascii="Times New Roman"/>
                            <w:sz w:val="21"/>
                          </w:rPr>
                        </w:pPr>
                        <w:r>
                          <w:rPr>
                            <w:rFonts w:ascii="Times New Roman"/>
                            <w:w w:val="99"/>
                            <w:sz w:val="21"/>
                          </w:rPr>
                          <w:t>/</w:t>
                        </w:r>
                      </w:p>
                    </w:tc>
                  </w:tr>
                  <w:tr>
                    <w:trPr>
                      <w:trHeight w:val="49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122"/>
                          <w:ind w:left="509" w:right="480"/>
                          <w:jc w:val="center"/>
                          <w:rPr>
                            <w:rFonts w:ascii="Times New Roman"/>
                            <w:sz w:val="21"/>
                          </w:rPr>
                        </w:pPr>
                        <w:r>
                          <w:rPr>
                            <w:rFonts w:ascii="Times New Roman"/>
                            <w:position w:val="2"/>
                            <w:sz w:val="21"/>
                          </w:rPr>
                          <w:t>O</w:t>
                        </w:r>
                        <w:r>
                          <w:rPr>
                            <w:rFonts w:ascii="Times New Roman"/>
                            <w:position w:val="2"/>
                            <w:sz w:val="21"/>
                            <w:vertAlign w:val="subscript"/>
                          </w:rPr>
                          <w:t>3</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125"/>
                          <w:ind w:left="190" w:right="159"/>
                          <w:jc w:val="center"/>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line="261" w:lineRule="exact"/>
                          <w:ind w:left="99" w:right="71"/>
                          <w:jc w:val="center"/>
                          <w:rPr>
                            <w:sz w:val="21"/>
                          </w:rPr>
                        </w:pPr>
                        <w:r>
                          <w:rPr>
                            <w:sz w:val="21"/>
                          </w:rPr>
                          <w:t>日最大 </w:t>
                        </w:r>
                        <w:r>
                          <w:rPr>
                            <w:rFonts w:ascii="Times New Roman" w:eastAsia="Times New Roman"/>
                            <w:sz w:val="21"/>
                          </w:rPr>
                          <w:t>8h </w:t>
                        </w:r>
                        <w:r>
                          <w:rPr>
                            <w:sz w:val="21"/>
                          </w:rPr>
                          <w:t>平均</w:t>
                        </w:r>
                      </w:p>
                      <w:p>
                        <w:pPr>
                          <w:pStyle w:val="TableParagraph"/>
                          <w:spacing w:line="211" w:lineRule="exact" w:before="1"/>
                          <w:ind w:left="99" w:right="68"/>
                          <w:jc w:val="center"/>
                          <w:rPr>
                            <w:rFonts w:ascii="Times New Roman" w:hAnsi="Times New Roman"/>
                            <w:sz w:val="13"/>
                          </w:rPr>
                        </w:pPr>
                        <w:r>
                          <w:rPr>
                            <w:rFonts w:ascii="Times New Roman" w:hAnsi="Times New Roman"/>
                            <w:sz w:val="21"/>
                          </w:rPr>
                          <w:t>160μg/m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125"/>
                          <w:ind w:left="19"/>
                          <w:jc w:val="center"/>
                          <w:rPr>
                            <w:rFonts w:ascii="Times New Roman"/>
                            <w:sz w:val="21"/>
                          </w:rPr>
                        </w:pPr>
                        <w:r>
                          <w:rPr>
                            <w:rFonts w:ascii="Times New Roman"/>
                            <w:w w:val="99"/>
                            <w:sz w:val="21"/>
                          </w:rPr>
                          <w:t>/</w:t>
                        </w:r>
                      </w:p>
                    </w:tc>
                  </w:tr>
                  <w:tr>
                    <w:trPr>
                      <w:trHeight w:val="305"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right w:val="single" w:sz="4" w:space="0" w:color="000000"/>
                        </w:tcBorders>
                      </w:tcPr>
                      <w:p>
                        <w:pPr>
                          <w:pStyle w:val="TableParagraph"/>
                          <w:spacing w:before="26"/>
                          <w:ind w:right="465"/>
                          <w:jc w:val="right"/>
                          <w:rPr>
                            <w:rFonts w:ascii="Times New Roman"/>
                            <w:sz w:val="21"/>
                          </w:rPr>
                        </w:pPr>
                        <w:r>
                          <w:rPr>
                            <w:rFonts w:ascii="Times New Roman"/>
                            <w:w w:val="95"/>
                            <w:sz w:val="21"/>
                          </w:rPr>
                          <w:t>TSP</w:t>
                        </w:r>
                      </w:p>
                    </w:tc>
                    <w:tc>
                      <w:tcPr>
                        <w:tcW w:w="1403" w:type="dxa"/>
                        <w:tcBorders>
                          <w:top w:val="single" w:sz="4" w:space="0" w:color="000000"/>
                          <w:left w:val="single" w:sz="4" w:space="0" w:color="000000"/>
                          <w:right w:val="single" w:sz="4" w:space="0" w:color="000000"/>
                        </w:tcBorders>
                      </w:tcPr>
                      <w:p>
                        <w:pPr>
                          <w:pStyle w:val="TableParagraph"/>
                          <w:spacing w:before="26"/>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right w:val="single" w:sz="6" w:space="0" w:color="000000"/>
                        </w:tcBorders>
                      </w:tcPr>
                      <w:p>
                        <w:pPr>
                          <w:pStyle w:val="TableParagraph"/>
                          <w:spacing w:before="26"/>
                          <w:ind w:left="99" w:right="68"/>
                          <w:jc w:val="center"/>
                          <w:rPr>
                            <w:rFonts w:ascii="Times New Roman" w:hAnsi="Times New Roman"/>
                            <w:sz w:val="13"/>
                          </w:rPr>
                        </w:pPr>
                        <w:r>
                          <w:rPr>
                            <w:rFonts w:ascii="Times New Roman" w:hAnsi="Times New Roman"/>
                            <w:sz w:val="21"/>
                          </w:rPr>
                          <w:t>300μg/m</w:t>
                        </w:r>
                        <w:r>
                          <w:rPr>
                            <w:rFonts w:ascii="Times New Roman" w:hAnsi="Times New Roman"/>
                            <w:position w:val="7"/>
                            <w:sz w:val="13"/>
                          </w:rPr>
                          <w:t>3</w:t>
                        </w:r>
                      </w:p>
                    </w:tc>
                    <w:tc>
                      <w:tcPr>
                        <w:tcW w:w="1412" w:type="dxa"/>
                        <w:tcBorders>
                          <w:top w:val="single" w:sz="4" w:space="0" w:color="000000"/>
                          <w:left w:val="single" w:sz="6" w:space="0" w:color="000000"/>
                          <w:right w:val="nil"/>
                        </w:tcBorders>
                      </w:tcPr>
                      <w:p>
                        <w:pPr>
                          <w:pStyle w:val="TableParagraph"/>
                          <w:spacing w:before="26"/>
                          <w:ind w:right="279"/>
                          <w:jc w:val="right"/>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r>
                </w:tbl>
                <w:p>
                  <w:pPr>
                    <w:pStyle w:val="BodyText"/>
                  </w:pPr>
                </w:p>
              </w:txbxContent>
            </v:textbox>
            <w10:wrap type="none"/>
          </v:shape>
        </w:pict>
      </w:r>
      <w:r>
        <w:rPr/>
        <w:pict>
          <v:shape style="position:absolute;margin-left:117.629997pt;margin-top:438.650024pt;width:391.2pt;height:35.450pt;mso-position-horizontal-relative:page;mso-position-vertical-relative:page;z-index:25167052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4"/>
                    <w:gridCol w:w="1062"/>
                    <w:gridCol w:w="2292"/>
                    <w:gridCol w:w="2292"/>
                  </w:tblGrid>
                  <w:tr>
                    <w:trPr>
                      <w:trHeight w:val="310" w:hRule="atLeast"/>
                    </w:trPr>
                    <w:tc>
                      <w:tcPr>
                        <w:tcW w:w="2134" w:type="dxa"/>
                        <w:tcBorders>
                          <w:left w:val="nil"/>
                          <w:right w:val="single" w:sz="4" w:space="0" w:color="000000"/>
                        </w:tcBorders>
                      </w:tcPr>
                      <w:p>
                        <w:pPr>
                          <w:pStyle w:val="TableParagraph"/>
                          <w:spacing w:before="17"/>
                          <w:ind w:left="115" w:right="83"/>
                          <w:jc w:val="center"/>
                          <w:rPr>
                            <w:sz w:val="21"/>
                          </w:rPr>
                        </w:pPr>
                        <w:r>
                          <w:rPr>
                            <w:sz w:val="21"/>
                          </w:rPr>
                          <w:t>执行标准</w:t>
                        </w:r>
                      </w:p>
                    </w:tc>
                    <w:tc>
                      <w:tcPr>
                        <w:tcW w:w="1062" w:type="dxa"/>
                        <w:tcBorders>
                          <w:left w:val="single" w:sz="4" w:space="0" w:color="000000"/>
                          <w:right w:val="single" w:sz="4" w:space="0" w:color="000000"/>
                        </w:tcBorders>
                      </w:tcPr>
                      <w:p>
                        <w:pPr>
                          <w:pStyle w:val="TableParagraph"/>
                          <w:spacing w:before="17"/>
                          <w:ind w:left="330"/>
                          <w:rPr>
                            <w:sz w:val="21"/>
                          </w:rPr>
                        </w:pPr>
                        <w:r>
                          <w:rPr>
                            <w:sz w:val="21"/>
                          </w:rPr>
                          <w:t>类别</w:t>
                        </w:r>
                      </w:p>
                    </w:tc>
                    <w:tc>
                      <w:tcPr>
                        <w:tcW w:w="2292" w:type="dxa"/>
                        <w:tcBorders>
                          <w:left w:val="single" w:sz="4" w:space="0" w:color="000000"/>
                          <w:right w:val="single" w:sz="4" w:space="0" w:color="000000"/>
                        </w:tcBorders>
                      </w:tcPr>
                      <w:p>
                        <w:pPr>
                          <w:pStyle w:val="TableParagraph"/>
                          <w:spacing w:before="17"/>
                          <w:ind w:left="924" w:right="898"/>
                          <w:jc w:val="center"/>
                          <w:rPr>
                            <w:sz w:val="21"/>
                          </w:rPr>
                        </w:pPr>
                        <w:r>
                          <w:rPr>
                            <w:sz w:val="21"/>
                          </w:rPr>
                          <w:t>昼间</w:t>
                        </w:r>
                      </w:p>
                    </w:tc>
                    <w:tc>
                      <w:tcPr>
                        <w:tcW w:w="2292" w:type="dxa"/>
                        <w:tcBorders>
                          <w:left w:val="single" w:sz="4" w:space="0" w:color="000000"/>
                          <w:right w:val="nil"/>
                        </w:tcBorders>
                      </w:tcPr>
                      <w:p>
                        <w:pPr>
                          <w:pStyle w:val="TableParagraph"/>
                          <w:spacing w:before="17"/>
                          <w:ind w:left="924" w:right="903"/>
                          <w:jc w:val="center"/>
                          <w:rPr>
                            <w:sz w:val="21"/>
                          </w:rPr>
                        </w:pPr>
                        <w:r>
                          <w:rPr>
                            <w:sz w:val="21"/>
                          </w:rPr>
                          <w:t>夜间</w:t>
                        </w:r>
                      </w:p>
                    </w:tc>
                  </w:tr>
                  <w:tr>
                    <w:trPr>
                      <w:trHeight w:val="310" w:hRule="atLeast"/>
                    </w:trPr>
                    <w:tc>
                      <w:tcPr>
                        <w:tcW w:w="2134" w:type="dxa"/>
                        <w:tcBorders>
                          <w:left w:val="nil"/>
                          <w:right w:val="single" w:sz="4" w:space="0" w:color="000000"/>
                        </w:tcBorders>
                      </w:tcPr>
                      <w:p>
                        <w:pPr>
                          <w:pStyle w:val="TableParagraph"/>
                          <w:spacing w:before="18"/>
                          <w:ind w:left="115" w:right="83"/>
                          <w:jc w:val="center"/>
                          <w:rPr>
                            <w:sz w:val="21"/>
                          </w:rPr>
                        </w:pPr>
                        <w:r>
                          <w:rPr>
                            <w:sz w:val="21"/>
                          </w:rPr>
                          <w:t>《声环境质量标准》</w:t>
                        </w:r>
                      </w:p>
                    </w:tc>
                    <w:tc>
                      <w:tcPr>
                        <w:tcW w:w="1062" w:type="dxa"/>
                        <w:tcBorders>
                          <w:left w:val="single" w:sz="4" w:space="0" w:color="000000"/>
                          <w:right w:val="single" w:sz="4" w:space="0" w:color="000000"/>
                        </w:tcBorders>
                      </w:tcPr>
                      <w:p>
                        <w:pPr>
                          <w:pStyle w:val="TableParagraph"/>
                          <w:spacing w:before="18"/>
                          <w:ind w:left="356"/>
                          <w:rPr>
                            <w:sz w:val="21"/>
                          </w:rPr>
                        </w:pPr>
                        <w:r>
                          <w:rPr>
                            <w:rFonts w:ascii="Times New Roman" w:eastAsia="Times New Roman"/>
                            <w:sz w:val="21"/>
                          </w:rPr>
                          <w:t>2 </w:t>
                        </w:r>
                        <w:r>
                          <w:rPr>
                            <w:sz w:val="21"/>
                          </w:rPr>
                          <w:t>类</w:t>
                        </w:r>
                      </w:p>
                    </w:tc>
                    <w:tc>
                      <w:tcPr>
                        <w:tcW w:w="2292" w:type="dxa"/>
                        <w:tcBorders>
                          <w:left w:val="single" w:sz="4" w:space="0" w:color="000000"/>
                          <w:right w:val="single" w:sz="4" w:space="0" w:color="000000"/>
                        </w:tcBorders>
                      </w:tcPr>
                      <w:p>
                        <w:pPr>
                          <w:pStyle w:val="TableParagraph"/>
                          <w:spacing w:before="34"/>
                          <w:ind w:left="924" w:right="894"/>
                          <w:jc w:val="center"/>
                          <w:rPr>
                            <w:rFonts w:ascii="Times New Roman"/>
                            <w:sz w:val="21"/>
                          </w:rPr>
                        </w:pPr>
                        <w:r>
                          <w:rPr>
                            <w:rFonts w:ascii="Times New Roman"/>
                            <w:sz w:val="21"/>
                          </w:rPr>
                          <w:t>60</w:t>
                        </w:r>
                      </w:p>
                    </w:tc>
                    <w:tc>
                      <w:tcPr>
                        <w:tcW w:w="2292" w:type="dxa"/>
                        <w:tcBorders>
                          <w:left w:val="single" w:sz="4" w:space="0" w:color="000000"/>
                          <w:right w:val="nil"/>
                        </w:tcBorders>
                      </w:tcPr>
                      <w:p>
                        <w:pPr>
                          <w:pStyle w:val="TableParagraph"/>
                          <w:spacing w:before="34"/>
                          <w:ind w:left="924" w:right="899"/>
                          <w:jc w:val="center"/>
                          <w:rPr>
                            <w:rFonts w:ascii="Times New Roman"/>
                            <w:sz w:val="21"/>
                          </w:rPr>
                        </w:pPr>
                        <w:r>
                          <w:rPr>
                            <w:rFonts w:ascii="Times New Roman"/>
                            <w:sz w:val="21"/>
                          </w:rPr>
                          <w:t>50</w:t>
                        </w:r>
                      </w:p>
                    </w:tc>
                  </w:tr>
                </w:tbl>
                <w:p>
                  <w:pPr>
                    <w:pStyle w:val="BodyText"/>
                  </w:pPr>
                </w:p>
              </w:txbxContent>
            </v:textbox>
            <w10:wrap type="none"/>
          </v:shape>
        </w:pict>
      </w:r>
      <w:r>
        <w:rPr/>
        <w:pict>
          <v:shape style="position:absolute;margin-left:131.679993pt;margin-top:595.450012pt;width:363.1pt;height:61pt;mso-position-horizontal-relative:page;mso-position-vertical-relative:page;z-index:25167155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87"/>
                    <w:gridCol w:w="2389"/>
                    <w:gridCol w:w="3042"/>
                  </w:tblGrid>
                  <w:tr>
                    <w:trPr>
                      <w:trHeight w:val="367" w:hRule="atLeast"/>
                    </w:trPr>
                    <w:tc>
                      <w:tcPr>
                        <w:tcW w:w="1787" w:type="dxa"/>
                        <w:vMerge w:val="restart"/>
                        <w:tcBorders>
                          <w:left w:val="nil"/>
                          <w:bottom w:val="single" w:sz="4" w:space="0" w:color="000000"/>
                          <w:right w:val="single" w:sz="4" w:space="0" w:color="000000"/>
                        </w:tcBorders>
                      </w:tcPr>
                      <w:p>
                        <w:pPr>
                          <w:pStyle w:val="TableParagraph"/>
                          <w:spacing w:before="12"/>
                          <w:rPr>
                            <w:rFonts w:ascii="黑体"/>
                            <w:sz w:val="19"/>
                          </w:rPr>
                        </w:pPr>
                      </w:p>
                      <w:p>
                        <w:pPr>
                          <w:pStyle w:val="TableParagraph"/>
                          <w:ind w:left="591"/>
                          <w:rPr>
                            <w:sz w:val="21"/>
                          </w:rPr>
                        </w:pPr>
                        <w:r>
                          <w:rPr>
                            <w:sz w:val="21"/>
                          </w:rPr>
                          <w:t>污染物</w:t>
                        </w:r>
                      </w:p>
                    </w:tc>
                    <w:tc>
                      <w:tcPr>
                        <w:tcW w:w="5431" w:type="dxa"/>
                        <w:gridSpan w:val="2"/>
                        <w:tcBorders>
                          <w:left w:val="single" w:sz="4" w:space="0" w:color="000000"/>
                          <w:bottom w:val="single" w:sz="4" w:space="0" w:color="000000"/>
                          <w:right w:val="nil"/>
                        </w:tcBorders>
                      </w:tcPr>
                      <w:p>
                        <w:pPr>
                          <w:pStyle w:val="TableParagraph"/>
                          <w:spacing w:before="56"/>
                          <w:ind w:left="1569"/>
                          <w:rPr>
                            <w:sz w:val="21"/>
                          </w:rPr>
                        </w:pPr>
                        <w:r>
                          <w:rPr>
                            <w:sz w:val="21"/>
                          </w:rPr>
                          <w:t>无组织排放监控浓度限值</w:t>
                        </w:r>
                      </w:p>
                    </w:tc>
                  </w:tr>
                  <w:tr>
                    <w:trPr>
                      <w:trHeight w:val="387" w:hRule="atLeast"/>
                    </w:trPr>
                    <w:tc>
                      <w:tcPr>
                        <w:tcW w:w="1787" w:type="dxa"/>
                        <w:vMerge/>
                        <w:tcBorders>
                          <w:top w:val="nil"/>
                          <w:left w:val="nil"/>
                          <w:bottom w:val="single" w:sz="4" w:space="0" w:color="000000"/>
                          <w:right w:val="single" w:sz="4" w:space="0" w:color="000000"/>
                        </w:tcBorders>
                      </w:tcPr>
                      <w:p>
                        <w:pPr>
                          <w:rPr>
                            <w:sz w:val="2"/>
                            <w:szCs w:val="2"/>
                          </w:rPr>
                        </w:pP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68"/>
                          <w:ind w:left="341" w:right="316"/>
                          <w:jc w:val="center"/>
                          <w:rPr>
                            <w:sz w:val="21"/>
                          </w:rPr>
                        </w:pPr>
                        <w:r>
                          <w:rPr>
                            <w:sz w:val="21"/>
                          </w:rPr>
                          <w:t>监控点</w:t>
                        </w:r>
                      </w:p>
                    </w:tc>
                    <w:tc>
                      <w:tcPr>
                        <w:tcW w:w="3042" w:type="dxa"/>
                        <w:tcBorders>
                          <w:top w:val="single" w:sz="4" w:space="0" w:color="000000"/>
                          <w:left w:val="single" w:sz="4" w:space="0" w:color="000000"/>
                          <w:bottom w:val="single" w:sz="4" w:space="0" w:color="000000"/>
                          <w:right w:val="nil"/>
                        </w:tcBorders>
                      </w:tcPr>
                      <w:p>
                        <w:pPr>
                          <w:pStyle w:val="TableParagraph"/>
                          <w:spacing w:before="68"/>
                          <w:ind w:left="953" w:right="928"/>
                          <w:jc w:val="center"/>
                          <w:rPr>
                            <w:rFonts w:ascii="Times New Roman" w:eastAsia="Times New Roman"/>
                            <w:sz w:val="21"/>
                          </w:rPr>
                        </w:pPr>
                        <w:r>
                          <w:rPr>
                            <w:sz w:val="21"/>
                          </w:rPr>
                          <w:t>浓度</w:t>
                        </w:r>
                        <w:r>
                          <w:rPr>
                            <w:rFonts w:ascii="Times New Roman" w:eastAsia="Times New Roman"/>
                            <w:sz w:val="21"/>
                          </w:rPr>
                          <w:t>(mg/m</w:t>
                        </w:r>
                        <w:r>
                          <w:rPr>
                            <w:rFonts w:ascii="Times New Roman" w:eastAsia="Times New Roman"/>
                            <w:position w:val="7"/>
                            <w:sz w:val="13"/>
                          </w:rPr>
                          <w:t>3</w:t>
                        </w:r>
                        <w:r>
                          <w:rPr>
                            <w:rFonts w:ascii="Times New Roman" w:eastAsia="Times New Roman"/>
                            <w:sz w:val="21"/>
                          </w:rPr>
                          <w:t>)</w:t>
                        </w:r>
                      </w:p>
                    </w:tc>
                  </w:tr>
                  <w:tr>
                    <w:trPr>
                      <w:trHeight w:val="386" w:hRule="atLeast"/>
                    </w:trPr>
                    <w:tc>
                      <w:tcPr>
                        <w:tcW w:w="1787" w:type="dxa"/>
                        <w:tcBorders>
                          <w:top w:val="single" w:sz="4" w:space="0" w:color="000000"/>
                          <w:left w:val="nil"/>
                          <w:right w:val="single" w:sz="4" w:space="0" w:color="000000"/>
                        </w:tcBorders>
                      </w:tcPr>
                      <w:p>
                        <w:pPr>
                          <w:pStyle w:val="TableParagraph"/>
                          <w:spacing w:before="67"/>
                          <w:ind w:left="591"/>
                          <w:rPr>
                            <w:sz w:val="21"/>
                          </w:rPr>
                        </w:pPr>
                        <w:r>
                          <w:rPr>
                            <w:sz w:val="21"/>
                          </w:rPr>
                          <w:t>颗粒物</w:t>
                        </w:r>
                      </w:p>
                    </w:tc>
                    <w:tc>
                      <w:tcPr>
                        <w:tcW w:w="2389" w:type="dxa"/>
                        <w:tcBorders>
                          <w:top w:val="single" w:sz="4" w:space="0" w:color="000000"/>
                          <w:left w:val="single" w:sz="4" w:space="0" w:color="000000"/>
                          <w:right w:val="single" w:sz="4" w:space="0" w:color="000000"/>
                        </w:tcBorders>
                      </w:tcPr>
                      <w:p>
                        <w:pPr>
                          <w:pStyle w:val="TableParagraph"/>
                          <w:spacing w:before="67"/>
                          <w:ind w:left="341" w:right="318"/>
                          <w:jc w:val="center"/>
                          <w:rPr>
                            <w:sz w:val="21"/>
                          </w:rPr>
                        </w:pPr>
                        <w:r>
                          <w:rPr>
                            <w:sz w:val="21"/>
                          </w:rPr>
                          <w:t>周界外浓度最高点</w:t>
                        </w:r>
                      </w:p>
                    </w:tc>
                    <w:tc>
                      <w:tcPr>
                        <w:tcW w:w="3042" w:type="dxa"/>
                        <w:tcBorders>
                          <w:top w:val="single" w:sz="4" w:space="0" w:color="000000"/>
                          <w:left w:val="single" w:sz="4" w:space="0" w:color="000000"/>
                          <w:right w:val="nil"/>
                        </w:tcBorders>
                      </w:tcPr>
                      <w:p>
                        <w:pPr>
                          <w:pStyle w:val="TableParagraph"/>
                          <w:spacing w:before="81"/>
                          <w:ind w:left="950" w:right="928"/>
                          <w:jc w:val="center"/>
                          <w:rPr>
                            <w:rFonts w:ascii="Times New Roman"/>
                            <w:sz w:val="21"/>
                          </w:rPr>
                        </w:pPr>
                        <w:r>
                          <w:rPr>
                            <w:rFonts w:ascii="Times New Roman"/>
                            <w:sz w:val="21"/>
                          </w:rPr>
                          <w:t>1.0</w:t>
                        </w:r>
                      </w:p>
                    </w:tc>
                  </w:tr>
                </w:tbl>
                <w:p>
                  <w:pPr>
                    <w:pStyle w:val="BodyText"/>
                  </w:pPr>
                </w:p>
              </w:txbxContent>
            </v:textbox>
            <w10:wrap type="none"/>
          </v:shape>
        </w:pict>
      </w:r>
      <w:bookmarkStart w:name="4评价适用标准" w:id="28"/>
      <w:bookmarkEnd w:id="28"/>
      <w:r>
        <w:rPr/>
      </w:r>
      <w:bookmarkStart w:name="_bookmark7" w:id="29"/>
      <w:bookmarkEnd w:id="29"/>
      <w:r>
        <w:rPr/>
      </w:r>
      <w:bookmarkStart w:name="_bookmark7" w:id="30"/>
      <w:bookmarkEnd w:id="30"/>
      <w:r>
        <w:rPr>
          <w:spacing w:val="-3"/>
        </w:rPr>
        <w:t>评价适用标准</w:t>
      </w:r>
    </w:p>
    <w:p>
      <w:pPr>
        <w:pStyle w:val="BodyText"/>
        <w:spacing w:before="5"/>
        <w:rPr>
          <w:rFonts w:ascii="黑体"/>
          <w:sz w:val="10"/>
        </w:r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
        <w:gridCol w:w="9229"/>
      </w:tblGrid>
      <w:tr>
        <w:trPr>
          <w:trHeight w:val="8144" w:hRule="atLeast"/>
        </w:trPr>
        <w:tc>
          <w:tcPr>
            <w:tcW w:w="496" w:type="dxa"/>
            <w:tcBorders>
              <w:bottom w:val="single" w:sz="6" w:space="0" w:color="000000"/>
              <w:right w:val="single" w:sz="6" w:space="0" w:color="000000"/>
            </w:tcBorders>
          </w:tcPr>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spacing w:before="2"/>
              <w:rPr>
                <w:rFonts w:ascii="黑体"/>
                <w:sz w:val="31"/>
              </w:rPr>
            </w:pPr>
          </w:p>
          <w:p>
            <w:pPr>
              <w:pStyle w:val="TableParagraph"/>
              <w:spacing w:line="268" w:lineRule="auto"/>
              <w:ind w:left="107" w:right="87"/>
              <w:jc w:val="both"/>
              <w:rPr>
                <w:rFonts w:ascii="黑体" w:eastAsia="黑体" w:hint="eastAsia"/>
                <w:sz w:val="28"/>
              </w:rPr>
            </w:pPr>
            <w:r>
              <w:rPr>
                <w:rFonts w:ascii="黑体" w:eastAsia="黑体" w:hint="eastAsia"/>
                <w:sz w:val="28"/>
              </w:rPr>
              <w:t>环境质量标准</w:t>
            </w:r>
          </w:p>
        </w:tc>
        <w:tc>
          <w:tcPr>
            <w:tcW w:w="9229" w:type="dxa"/>
            <w:tcBorders>
              <w:left w:val="single" w:sz="6" w:space="0" w:color="000000"/>
              <w:bottom w:val="single" w:sz="6" w:space="0" w:color="000000"/>
            </w:tcBorders>
          </w:tcPr>
          <w:p>
            <w:pPr>
              <w:pStyle w:val="TableParagraph"/>
              <w:spacing w:before="129"/>
              <w:ind w:left="591"/>
              <w:rPr>
                <w:b/>
                <w:sz w:val="24"/>
              </w:rPr>
            </w:pPr>
            <w:r>
              <w:rPr>
                <w:b/>
                <w:sz w:val="24"/>
              </w:rPr>
              <w:t>一、环境空气</w:t>
            </w:r>
          </w:p>
          <w:p>
            <w:pPr>
              <w:pStyle w:val="TableParagraph"/>
              <w:spacing w:line="312" w:lineRule="auto" w:before="105"/>
              <w:ind w:left="111" w:right="86" w:firstLine="480"/>
              <w:rPr>
                <w:sz w:val="24"/>
              </w:rPr>
            </w:pPr>
            <w:r>
              <w:rPr>
                <w:spacing w:val="-6"/>
                <w:sz w:val="24"/>
              </w:rPr>
              <w:t>项目所在地环境空气质量功能区划分为二类区，环境空气质量执行国家《环境空气</w:t>
            </w:r>
            <w:r>
              <w:rPr>
                <w:spacing w:val="-24"/>
                <w:sz w:val="24"/>
              </w:rPr>
              <w:t>质量标准》</w:t>
            </w:r>
            <w:r>
              <w:rPr>
                <w:sz w:val="24"/>
              </w:rPr>
              <w:t>（</w:t>
            </w:r>
            <w:r>
              <w:rPr>
                <w:rFonts w:ascii="Times New Roman" w:eastAsia="Times New Roman"/>
                <w:sz w:val="24"/>
              </w:rPr>
              <w:t>GB3095-2012</w:t>
            </w:r>
            <w:r>
              <w:rPr>
                <w:sz w:val="24"/>
              </w:rPr>
              <w:t>）</w:t>
            </w:r>
            <w:r>
              <w:rPr>
                <w:spacing w:val="-8"/>
                <w:sz w:val="24"/>
              </w:rPr>
              <w:t>二级标准，见表 </w:t>
            </w:r>
            <w:r>
              <w:rPr>
                <w:rFonts w:ascii="Times New Roman" w:eastAsia="Times New Roman"/>
                <w:sz w:val="24"/>
              </w:rPr>
              <w:t>4.1</w:t>
            </w:r>
            <w:r>
              <w:rPr>
                <w:sz w:val="24"/>
              </w:rPr>
              <w:t>。</w:t>
            </w:r>
          </w:p>
          <w:p>
            <w:pPr>
              <w:pStyle w:val="TableParagraph"/>
              <w:tabs>
                <w:tab w:pos="4075" w:val="left" w:leader="none"/>
              </w:tabs>
              <w:spacing w:before="48"/>
              <w:ind w:left="3235"/>
              <w:rPr>
                <w:b/>
                <w:sz w:val="24"/>
              </w:rPr>
            </w:pPr>
            <w:r>
              <w:rPr>
                <w:b/>
                <w:sz w:val="24"/>
              </w:rPr>
              <w:t>表</w:t>
            </w:r>
            <w:r>
              <w:rPr>
                <w:b/>
                <w:spacing w:val="-62"/>
                <w:sz w:val="24"/>
              </w:rPr>
              <w:t> </w:t>
            </w:r>
            <w:r>
              <w:rPr>
                <w:rFonts w:ascii="Times New Roman" w:eastAsia="Times New Roman"/>
                <w:b/>
                <w:sz w:val="24"/>
              </w:rPr>
              <w:t>4.1</w:t>
              <w:tab/>
            </w:r>
            <w:r>
              <w:rPr>
                <w:b/>
                <w:sz w:val="24"/>
              </w:rPr>
              <w:t>环境空气质量标准</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7"/>
              <w:rPr>
                <w:rFonts w:ascii="黑体"/>
                <w:sz w:val="20"/>
              </w:rPr>
            </w:pPr>
          </w:p>
          <w:p>
            <w:pPr>
              <w:pStyle w:val="TableParagraph"/>
              <w:ind w:left="591"/>
              <w:rPr>
                <w:b/>
                <w:sz w:val="24"/>
              </w:rPr>
            </w:pPr>
            <w:r>
              <w:rPr>
                <w:b/>
                <w:sz w:val="24"/>
              </w:rPr>
              <w:t>二、声环境</w:t>
            </w:r>
          </w:p>
          <w:p>
            <w:pPr>
              <w:pStyle w:val="TableParagraph"/>
              <w:spacing w:before="103"/>
              <w:ind w:left="591" w:right="-44"/>
              <w:rPr>
                <w:sz w:val="24"/>
              </w:rPr>
            </w:pPr>
            <w:r>
              <w:rPr>
                <w:spacing w:val="29"/>
                <w:sz w:val="24"/>
              </w:rPr>
              <w:t>项目矿区所在地声环境为 </w:t>
            </w:r>
            <w:r>
              <w:rPr>
                <w:rFonts w:ascii="Times New Roman" w:eastAsia="Times New Roman"/>
                <w:sz w:val="24"/>
              </w:rPr>
              <w:t>2</w:t>
            </w:r>
            <w:r>
              <w:rPr>
                <w:rFonts w:ascii="Times New Roman" w:eastAsia="Times New Roman"/>
                <w:spacing w:val="40"/>
                <w:sz w:val="24"/>
              </w:rPr>
              <w:t> </w:t>
            </w:r>
            <w:r>
              <w:rPr>
                <w:spacing w:val="24"/>
                <w:sz w:val="24"/>
              </w:rPr>
              <w:t>类声环境功能区， 执行《声环境质量标准》</w:t>
            </w:r>
          </w:p>
          <w:p>
            <w:pPr>
              <w:pStyle w:val="TableParagraph"/>
              <w:spacing w:before="93"/>
              <w:ind w:left="111"/>
              <w:rPr>
                <w:sz w:val="24"/>
              </w:rPr>
            </w:pPr>
            <w:r>
              <w:rPr>
                <w:sz w:val="24"/>
              </w:rPr>
              <w:t>（</w:t>
            </w:r>
            <w:r>
              <w:rPr>
                <w:rFonts w:ascii="Times New Roman" w:eastAsia="Times New Roman"/>
                <w:sz w:val="24"/>
              </w:rPr>
              <w:t>GB3096-2008</w:t>
            </w:r>
            <w:r>
              <w:rPr>
                <w:sz w:val="24"/>
              </w:rPr>
              <w:t>）</w:t>
            </w:r>
            <w:r>
              <w:rPr>
                <w:rFonts w:ascii="Times New Roman" w:eastAsia="Times New Roman"/>
                <w:sz w:val="24"/>
              </w:rPr>
              <w:t>2 </w:t>
            </w:r>
            <w:r>
              <w:rPr>
                <w:sz w:val="24"/>
              </w:rPr>
              <w:t>类标准，见表 </w:t>
            </w:r>
            <w:r>
              <w:rPr>
                <w:rFonts w:ascii="Times New Roman" w:eastAsia="Times New Roman"/>
                <w:sz w:val="24"/>
              </w:rPr>
              <w:t>4.2</w:t>
            </w:r>
            <w:r>
              <w:rPr>
                <w:sz w:val="24"/>
              </w:rPr>
              <w:t>。</w:t>
            </w:r>
          </w:p>
          <w:p>
            <w:pPr>
              <w:pStyle w:val="TableParagraph"/>
              <w:tabs>
                <w:tab w:pos="3255" w:val="left" w:leader="none"/>
                <w:tab w:pos="6267" w:val="left" w:leader="none"/>
              </w:tabs>
              <w:spacing w:before="141"/>
              <w:ind w:left="2415"/>
              <w:rPr>
                <w:sz w:val="24"/>
              </w:rPr>
            </w:pPr>
            <w:r>
              <w:rPr>
                <w:b/>
                <w:sz w:val="24"/>
              </w:rPr>
              <w:t>表</w:t>
            </w:r>
            <w:r>
              <w:rPr>
                <w:b/>
                <w:spacing w:val="-62"/>
                <w:sz w:val="24"/>
              </w:rPr>
              <w:t> </w:t>
            </w:r>
            <w:r>
              <w:rPr>
                <w:rFonts w:ascii="Times New Roman" w:eastAsia="Times New Roman"/>
                <w:b/>
                <w:sz w:val="24"/>
              </w:rPr>
              <w:t>4.2</w:t>
              <w:tab/>
            </w:r>
            <w:r>
              <w:rPr>
                <w:b/>
                <w:sz w:val="24"/>
              </w:rPr>
              <w:t>声环境质量标准（摘录）</w:t>
              <w:tab/>
            </w:r>
            <w:r>
              <w:rPr>
                <w:sz w:val="24"/>
              </w:rPr>
              <w:t>（</w:t>
            </w:r>
            <w:r>
              <w:rPr>
                <w:sz w:val="21"/>
              </w:rPr>
              <w:t>单位：</w:t>
            </w:r>
            <w:r>
              <w:rPr>
                <w:rFonts w:ascii="Times New Roman" w:eastAsia="Times New Roman"/>
                <w:sz w:val="21"/>
              </w:rPr>
              <w:t>dB(A)</w:t>
            </w:r>
            <w:r>
              <w:rPr>
                <w:sz w:val="24"/>
              </w:rPr>
              <w:t>）</w:t>
            </w:r>
          </w:p>
        </w:tc>
      </w:tr>
      <w:tr>
        <w:trPr>
          <w:trHeight w:val="5378" w:hRule="atLeast"/>
        </w:trPr>
        <w:tc>
          <w:tcPr>
            <w:tcW w:w="496" w:type="dxa"/>
            <w:tcBorders>
              <w:top w:val="single" w:sz="6" w:space="0" w:color="000000"/>
              <w:right w:val="single" w:sz="6" w:space="0" w:color="000000"/>
            </w:tcBorders>
          </w:tcPr>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spacing w:before="10"/>
              <w:rPr>
                <w:rFonts w:ascii="黑体"/>
                <w:sz w:val="19"/>
              </w:rPr>
            </w:pPr>
          </w:p>
          <w:p>
            <w:pPr>
              <w:pStyle w:val="TableParagraph"/>
              <w:spacing w:line="266" w:lineRule="auto"/>
              <w:ind w:left="107" w:right="87"/>
              <w:jc w:val="both"/>
              <w:rPr>
                <w:rFonts w:ascii="黑体" w:eastAsia="黑体" w:hint="eastAsia"/>
                <w:sz w:val="28"/>
              </w:rPr>
            </w:pPr>
            <w:r>
              <w:rPr>
                <w:rFonts w:ascii="黑体" w:eastAsia="黑体" w:hint="eastAsia"/>
                <w:sz w:val="28"/>
              </w:rPr>
              <w:t>污染物排放标准</w:t>
            </w:r>
          </w:p>
        </w:tc>
        <w:tc>
          <w:tcPr>
            <w:tcW w:w="9229" w:type="dxa"/>
            <w:tcBorders>
              <w:top w:val="single" w:sz="6" w:space="0" w:color="000000"/>
              <w:left w:val="single" w:sz="6" w:space="0" w:color="000000"/>
            </w:tcBorders>
          </w:tcPr>
          <w:p>
            <w:pPr>
              <w:pStyle w:val="TableParagraph"/>
              <w:spacing w:before="127"/>
              <w:ind w:left="591"/>
              <w:rPr>
                <w:b/>
                <w:sz w:val="24"/>
              </w:rPr>
            </w:pPr>
            <w:r>
              <w:rPr>
                <w:b/>
                <w:sz w:val="24"/>
              </w:rPr>
              <w:t>一、废气</w:t>
            </w:r>
          </w:p>
          <w:p>
            <w:pPr>
              <w:pStyle w:val="TableParagraph"/>
              <w:spacing w:line="360" w:lineRule="auto" w:before="153"/>
              <w:ind w:left="111" w:right="84" w:firstLine="480"/>
              <w:rPr>
                <w:sz w:val="24"/>
              </w:rPr>
            </w:pPr>
            <w:r>
              <w:rPr>
                <w:spacing w:val="-3"/>
                <w:sz w:val="24"/>
              </w:rPr>
              <w:t>项目运营期产生的扬尘执行《大气污染物综合排放标准</w:t>
            </w:r>
            <w:r>
              <w:rPr>
                <w:spacing w:val="-154"/>
                <w:sz w:val="24"/>
              </w:rPr>
              <w:t>》</w:t>
            </w:r>
            <w:r>
              <w:rPr>
                <w:sz w:val="24"/>
              </w:rPr>
              <w:t>（</w:t>
            </w:r>
            <w:r>
              <w:rPr>
                <w:rFonts w:ascii="Times New Roman" w:eastAsia="Times New Roman"/>
                <w:sz w:val="24"/>
              </w:rPr>
              <w:t>GB </w:t>
            </w:r>
            <w:r>
              <w:rPr>
                <w:rFonts w:ascii="Times New Roman" w:eastAsia="Times New Roman"/>
                <w:spacing w:val="-4"/>
                <w:sz w:val="24"/>
              </w:rPr>
              <w:t>16297-1996</w:t>
            </w:r>
            <w:r>
              <w:rPr>
                <w:spacing w:val="-4"/>
                <w:sz w:val="24"/>
              </w:rPr>
              <w:t>）</w:t>
            </w:r>
            <w:r>
              <w:rPr>
                <w:spacing w:val="-5"/>
                <w:sz w:val="24"/>
              </w:rPr>
              <w:t>二级标</w:t>
            </w:r>
            <w:r>
              <w:rPr>
                <w:spacing w:val="-6"/>
                <w:sz w:val="24"/>
              </w:rPr>
              <w:t>准中相关要求，见表 </w:t>
            </w:r>
            <w:r>
              <w:rPr>
                <w:rFonts w:ascii="Times New Roman" w:eastAsia="Times New Roman"/>
                <w:sz w:val="24"/>
              </w:rPr>
              <w:t>4.3</w:t>
            </w:r>
            <w:r>
              <w:rPr>
                <w:sz w:val="24"/>
              </w:rPr>
              <w:t>。</w:t>
            </w:r>
          </w:p>
          <w:p>
            <w:pPr>
              <w:pStyle w:val="TableParagraph"/>
              <w:spacing w:before="14"/>
              <w:ind w:left="2215"/>
              <w:rPr>
                <w:b/>
                <w:sz w:val="24"/>
              </w:rPr>
            </w:pPr>
            <w:r>
              <w:rPr>
                <w:b/>
                <w:sz w:val="24"/>
              </w:rPr>
              <w:t>表 </w:t>
            </w:r>
            <w:r>
              <w:rPr>
                <w:rFonts w:ascii="Times New Roman" w:eastAsia="Times New Roman"/>
                <w:b/>
                <w:sz w:val="24"/>
              </w:rPr>
              <w:t>4.3  </w:t>
            </w:r>
            <w:r>
              <w:rPr>
                <w:b/>
                <w:sz w:val="24"/>
              </w:rPr>
              <w:t>《大气污染物综合排放标准》表 </w:t>
            </w:r>
            <w:r>
              <w:rPr>
                <w:rFonts w:ascii="Times New Roman" w:eastAsia="Times New Roman"/>
                <w:b/>
                <w:sz w:val="24"/>
              </w:rPr>
              <w:t>2 </w:t>
            </w:r>
            <w:r>
              <w:rPr>
                <w:b/>
                <w:sz w:val="24"/>
              </w:rPr>
              <w:t>标准</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6"/>
              <w:rPr>
                <w:rFonts w:ascii="黑体"/>
                <w:sz w:val="29"/>
              </w:rPr>
            </w:pPr>
          </w:p>
          <w:p>
            <w:pPr>
              <w:pStyle w:val="TableParagraph"/>
              <w:ind w:left="591"/>
              <w:rPr>
                <w:b/>
                <w:sz w:val="24"/>
              </w:rPr>
            </w:pPr>
            <w:r>
              <w:rPr>
                <w:b/>
                <w:sz w:val="24"/>
              </w:rPr>
              <w:t>二、废水</w:t>
            </w:r>
          </w:p>
          <w:p>
            <w:pPr>
              <w:pStyle w:val="TableParagraph"/>
              <w:spacing w:line="357" w:lineRule="auto" w:before="153"/>
              <w:ind w:left="111" w:right="86" w:firstLine="480"/>
              <w:rPr>
                <w:sz w:val="24"/>
              </w:rPr>
            </w:pPr>
            <w:r>
              <w:rPr>
                <w:spacing w:val="-7"/>
                <w:sz w:val="24"/>
              </w:rPr>
              <w:t>运营过程中无生产废水产生；生活污水利用矿部化粪池进行收集，定期清掏，用于</w:t>
            </w:r>
            <w:r>
              <w:rPr>
                <w:sz w:val="24"/>
              </w:rPr>
              <w:t>周围农田施肥。</w:t>
            </w:r>
          </w:p>
          <w:p>
            <w:pPr>
              <w:pStyle w:val="TableParagraph"/>
              <w:spacing w:before="3"/>
              <w:ind w:left="591"/>
              <w:rPr>
                <w:b/>
                <w:sz w:val="24"/>
              </w:rPr>
            </w:pPr>
            <w:r>
              <w:rPr>
                <w:b/>
                <w:sz w:val="24"/>
              </w:rPr>
              <w:t>三、噪声</w:t>
            </w:r>
          </w:p>
          <w:p>
            <w:pPr>
              <w:pStyle w:val="TableParagraph"/>
              <w:spacing w:before="154"/>
              <w:ind w:left="591"/>
              <w:rPr>
                <w:sz w:val="24"/>
              </w:rPr>
            </w:pPr>
            <w:r>
              <w:rPr>
                <w:spacing w:val="-7"/>
                <w:sz w:val="24"/>
              </w:rPr>
              <w:t>运营期执行《工业企业厂界环境噪声排放标准》</w:t>
            </w:r>
            <w:r>
              <w:rPr>
                <w:sz w:val="24"/>
              </w:rPr>
              <w:t>（</w:t>
            </w:r>
            <w:r>
              <w:rPr>
                <w:rFonts w:ascii="Times New Roman" w:eastAsia="Times New Roman"/>
                <w:sz w:val="24"/>
              </w:rPr>
              <w:t>GB12348-2008</w:t>
            </w:r>
            <w:r>
              <w:rPr>
                <w:sz w:val="24"/>
              </w:rPr>
              <w:t>）</w:t>
            </w:r>
            <w:r>
              <w:rPr>
                <w:rFonts w:ascii="Times New Roman" w:eastAsia="Times New Roman"/>
                <w:sz w:val="24"/>
              </w:rPr>
              <w:t>2 </w:t>
            </w:r>
            <w:r>
              <w:rPr>
                <w:sz w:val="24"/>
              </w:rPr>
              <w:t>类标准。见表</w:t>
            </w:r>
          </w:p>
        </w:tc>
      </w:tr>
    </w:tbl>
    <w:p>
      <w:pPr>
        <w:spacing w:after="0"/>
        <w:rPr>
          <w:sz w:val="24"/>
        </w:rPr>
        <w:sectPr>
          <w:pgSz w:w="11910" w:h="16840"/>
          <w:pgMar w:header="0" w:footer="770" w:top="1300" w:bottom="1040" w:left="1020" w:right="880"/>
        </w:sect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
        <w:gridCol w:w="9229"/>
      </w:tblGrid>
      <w:tr>
        <w:trPr>
          <w:trHeight w:val="4145" w:hRule="atLeast"/>
        </w:trPr>
        <w:tc>
          <w:tcPr>
            <w:tcW w:w="496" w:type="dxa"/>
            <w:tcBorders>
              <w:bottom w:val="single" w:sz="6" w:space="0" w:color="000000"/>
              <w:right w:val="single" w:sz="6" w:space="0" w:color="000000"/>
            </w:tcBorders>
          </w:tcPr>
          <w:p>
            <w:pPr>
              <w:pStyle w:val="TableParagraph"/>
              <w:rPr>
                <w:rFonts w:ascii="Times New Roman"/>
                <w:sz w:val="22"/>
              </w:rPr>
            </w:pPr>
          </w:p>
        </w:tc>
        <w:tc>
          <w:tcPr>
            <w:tcW w:w="9229" w:type="dxa"/>
            <w:tcBorders>
              <w:left w:val="single" w:sz="6" w:space="0" w:color="000000"/>
              <w:bottom w:val="single" w:sz="6" w:space="0" w:color="000000"/>
            </w:tcBorders>
          </w:tcPr>
          <w:p>
            <w:pPr>
              <w:pStyle w:val="TableParagraph"/>
              <w:spacing w:before="124"/>
              <w:ind w:left="111"/>
              <w:rPr>
                <w:sz w:val="24"/>
              </w:rPr>
            </w:pPr>
            <w:r>
              <w:rPr>
                <w:rFonts w:ascii="Times New Roman" w:eastAsia="Times New Roman"/>
                <w:sz w:val="24"/>
              </w:rPr>
              <w:t>4.4</w:t>
            </w:r>
            <w:r>
              <w:rPr>
                <w:sz w:val="24"/>
              </w:rPr>
              <w:t>。</w:t>
            </w:r>
          </w:p>
          <w:p>
            <w:pPr>
              <w:pStyle w:val="TableParagraph"/>
              <w:spacing w:before="153"/>
              <w:ind w:left="3004" w:right="2975"/>
              <w:jc w:val="center"/>
              <w:rPr>
                <w:b/>
                <w:sz w:val="24"/>
              </w:rPr>
            </w:pPr>
            <w:r>
              <w:rPr>
                <w:b/>
                <w:sz w:val="24"/>
              </w:rPr>
              <w:t>表 </w:t>
            </w:r>
            <w:r>
              <w:rPr>
                <w:rFonts w:ascii="Times New Roman" w:eastAsia="Times New Roman"/>
                <w:b/>
                <w:sz w:val="24"/>
              </w:rPr>
              <w:t>4.4  </w:t>
            </w:r>
            <w:r>
              <w:rPr>
                <w:b/>
                <w:sz w:val="24"/>
              </w:rPr>
              <w:t>噪声排放标准（摘录）</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203"/>
              <w:ind w:left="591"/>
              <w:rPr>
                <w:b/>
                <w:sz w:val="24"/>
              </w:rPr>
            </w:pPr>
            <w:r>
              <w:rPr>
                <w:b/>
                <w:sz w:val="24"/>
              </w:rPr>
              <w:t>四、固废</w:t>
            </w:r>
          </w:p>
          <w:p>
            <w:pPr>
              <w:pStyle w:val="TableParagraph"/>
              <w:spacing w:before="153"/>
              <w:ind w:left="591" w:right="-44"/>
              <w:rPr>
                <w:sz w:val="24"/>
              </w:rPr>
            </w:pPr>
            <w:r>
              <w:rPr>
                <w:spacing w:val="28"/>
                <w:sz w:val="24"/>
              </w:rPr>
              <w:t>一般工业固废执行《 一般工业固体废物贮存、 处置场污染控制标准》</w:t>
            </w:r>
          </w:p>
          <w:p>
            <w:pPr>
              <w:pStyle w:val="TableParagraph"/>
              <w:spacing w:before="151"/>
              <w:ind w:left="111"/>
              <w:rPr>
                <w:sz w:val="24"/>
              </w:rPr>
            </w:pPr>
            <w:r>
              <w:rPr>
                <w:sz w:val="24"/>
              </w:rPr>
              <w:t>（</w:t>
            </w:r>
            <w:r>
              <w:rPr>
                <w:rFonts w:ascii="Times New Roman" w:eastAsia="Times New Roman"/>
                <w:sz w:val="24"/>
              </w:rPr>
              <w:t>GB18599-2001</w:t>
            </w:r>
            <w:r>
              <w:rPr>
                <w:sz w:val="24"/>
              </w:rPr>
              <w:t>）的相关规定。</w:t>
            </w:r>
          </w:p>
        </w:tc>
      </w:tr>
      <w:tr>
        <w:trPr>
          <w:trHeight w:val="3563" w:hRule="atLeast"/>
        </w:trPr>
        <w:tc>
          <w:tcPr>
            <w:tcW w:w="496" w:type="dxa"/>
            <w:tcBorders>
              <w:top w:val="single" w:sz="6" w:space="0" w:color="000000"/>
              <w:right w:val="single" w:sz="6" w:space="0" w:color="000000"/>
            </w:tcBorders>
          </w:tcPr>
          <w:p>
            <w:pPr>
              <w:pStyle w:val="TableParagraph"/>
              <w:rPr>
                <w:rFonts w:ascii="黑体"/>
                <w:sz w:val="28"/>
              </w:rPr>
            </w:pPr>
          </w:p>
          <w:p>
            <w:pPr>
              <w:pStyle w:val="TableParagraph"/>
              <w:spacing w:before="7"/>
              <w:rPr>
                <w:rFonts w:ascii="黑体"/>
                <w:sz w:val="27"/>
              </w:rPr>
            </w:pPr>
          </w:p>
          <w:p>
            <w:pPr>
              <w:pStyle w:val="TableParagraph"/>
              <w:ind w:left="107" w:right="87"/>
              <w:jc w:val="both"/>
              <w:rPr>
                <w:rFonts w:ascii="黑体" w:eastAsia="黑体" w:hint="eastAsia"/>
                <w:sz w:val="28"/>
              </w:rPr>
            </w:pPr>
            <w:r>
              <w:rPr>
                <w:rFonts w:ascii="黑体" w:eastAsia="黑体" w:hint="eastAsia"/>
                <w:sz w:val="28"/>
              </w:rPr>
              <w:t>总量控制指标</w:t>
            </w:r>
          </w:p>
        </w:tc>
        <w:tc>
          <w:tcPr>
            <w:tcW w:w="9229" w:type="dxa"/>
            <w:tcBorders>
              <w:top w:val="single" w:sz="6" w:space="0" w:color="000000"/>
              <w:left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35"/>
              </w:rPr>
            </w:pPr>
          </w:p>
          <w:p>
            <w:pPr>
              <w:pStyle w:val="TableParagraph"/>
              <w:ind w:left="591"/>
              <w:rPr>
                <w:sz w:val="24"/>
              </w:rPr>
            </w:pPr>
            <w:r>
              <w:rPr>
                <w:sz w:val="24"/>
              </w:rPr>
              <w:t>本项目无总量控制污染物外排，故无需设置总量控制指标。</w:t>
            </w:r>
          </w:p>
        </w:tc>
      </w:tr>
    </w:tbl>
    <w:p>
      <w:pPr>
        <w:rPr>
          <w:sz w:val="2"/>
          <w:szCs w:val="2"/>
        </w:rPr>
      </w:pPr>
      <w:r>
        <w:rPr/>
        <w:pict>
          <v:shape style="position:absolute;margin-left:99.529999pt;margin-top:109.100014pt;width:427.45pt;height:52.45pt;mso-position-horizontal-relative:page;mso-position-vertical-relative:page;z-index:25167257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57"/>
                    <w:gridCol w:w="1276"/>
                    <w:gridCol w:w="1274"/>
                    <w:gridCol w:w="1135"/>
                    <w:gridCol w:w="1063"/>
                  </w:tblGrid>
                  <w:tr>
                    <w:trPr>
                      <w:trHeight w:val="310" w:hRule="atLeast"/>
                    </w:trPr>
                    <w:tc>
                      <w:tcPr>
                        <w:tcW w:w="3757" w:type="dxa"/>
                        <w:vMerge w:val="restart"/>
                        <w:tcBorders>
                          <w:left w:val="nil"/>
                          <w:bottom w:val="single" w:sz="6" w:space="0" w:color="000000"/>
                          <w:right w:val="single" w:sz="6" w:space="0" w:color="000000"/>
                        </w:tcBorders>
                      </w:tcPr>
                      <w:p>
                        <w:pPr>
                          <w:pStyle w:val="TableParagraph"/>
                          <w:spacing w:before="11"/>
                          <w:rPr>
                            <w:rFonts w:ascii="黑体"/>
                            <w:sz w:val="14"/>
                          </w:rPr>
                        </w:pPr>
                      </w:p>
                      <w:p>
                        <w:pPr>
                          <w:pStyle w:val="TableParagraph"/>
                          <w:ind w:left="1448" w:right="1420"/>
                          <w:jc w:val="center"/>
                          <w:rPr>
                            <w:sz w:val="21"/>
                          </w:rPr>
                        </w:pPr>
                        <w:r>
                          <w:rPr>
                            <w:sz w:val="21"/>
                          </w:rPr>
                          <w:t>标准名称</w:t>
                        </w:r>
                      </w:p>
                    </w:tc>
                    <w:tc>
                      <w:tcPr>
                        <w:tcW w:w="1276" w:type="dxa"/>
                        <w:vMerge w:val="restart"/>
                        <w:tcBorders>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34"/>
                          <w:rPr>
                            <w:sz w:val="21"/>
                          </w:rPr>
                        </w:pPr>
                        <w:r>
                          <w:rPr>
                            <w:sz w:val="21"/>
                          </w:rPr>
                          <w:t>级别</w:t>
                        </w:r>
                      </w:p>
                    </w:tc>
                    <w:tc>
                      <w:tcPr>
                        <w:tcW w:w="1274" w:type="dxa"/>
                        <w:vMerge w:val="restart"/>
                        <w:tcBorders>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24"/>
                          <w:rPr>
                            <w:sz w:val="21"/>
                          </w:rPr>
                        </w:pPr>
                        <w:r>
                          <w:rPr>
                            <w:sz w:val="21"/>
                          </w:rPr>
                          <w:t>评价因子</w:t>
                        </w:r>
                      </w:p>
                    </w:tc>
                    <w:tc>
                      <w:tcPr>
                        <w:tcW w:w="2198" w:type="dxa"/>
                        <w:gridSpan w:val="2"/>
                        <w:tcBorders>
                          <w:left w:val="single" w:sz="6" w:space="0" w:color="000000"/>
                          <w:bottom w:val="single" w:sz="6" w:space="0" w:color="000000"/>
                          <w:right w:val="nil"/>
                        </w:tcBorders>
                      </w:tcPr>
                      <w:p>
                        <w:pPr>
                          <w:pStyle w:val="TableParagraph"/>
                          <w:spacing w:before="20"/>
                          <w:ind w:left="229"/>
                          <w:rPr>
                            <w:sz w:val="21"/>
                          </w:rPr>
                        </w:pPr>
                        <w:r>
                          <w:rPr>
                            <w:spacing w:val="-1"/>
                            <w:w w:val="99"/>
                            <w:sz w:val="21"/>
                          </w:rPr>
                          <w:t>标准值〔</w:t>
                        </w:r>
                        <w:r>
                          <w:rPr>
                            <w:rFonts w:ascii="Times New Roman" w:eastAsia="Times New Roman"/>
                            <w:spacing w:val="1"/>
                            <w:w w:val="99"/>
                            <w:sz w:val="21"/>
                          </w:rPr>
                          <w:t>d</w:t>
                        </w:r>
                        <w:r>
                          <w:rPr>
                            <w:rFonts w:ascii="Times New Roman" w:eastAsia="Times New Roman"/>
                            <w:spacing w:val="-1"/>
                            <w:w w:val="99"/>
                            <w:sz w:val="21"/>
                          </w:rPr>
                          <w:t>B</w:t>
                        </w:r>
                        <w:r>
                          <w:rPr>
                            <w:spacing w:val="-1"/>
                            <w:w w:val="99"/>
                            <w:sz w:val="21"/>
                          </w:rPr>
                          <w:t>（</w:t>
                        </w:r>
                        <w:r>
                          <w:rPr>
                            <w:rFonts w:ascii="Times New Roman" w:eastAsia="Times New Roman"/>
                            <w:w w:val="99"/>
                            <w:sz w:val="21"/>
                          </w:rPr>
                          <w:t>A</w:t>
                        </w:r>
                        <w:r>
                          <w:rPr>
                            <w:spacing w:val="-104"/>
                            <w:w w:val="99"/>
                            <w:sz w:val="21"/>
                          </w:rPr>
                          <w:t>）</w:t>
                        </w:r>
                        <w:r>
                          <w:rPr>
                            <w:w w:val="99"/>
                            <w:sz w:val="21"/>
                          </w:rPr>
                          <w:t>〕</w:t>
                        </w:r>
                      </w:p>
                    </w:tc>
                  </w:tr>
                  <w:tr>
                    <w:trPr>
                      <w:trHeight w:val="325" w:hRule="atLeast"/>
                    </w:trPr>
                    <w:tc>
                      <w:tcPr>
                        <w:tcW w:w="3757" w:type="dxa"/>
                        <w:vMerge/>
                        <w:tcBorders>
                          <w:top w:val="nil"/>
                          <w:left w:val="nil"/>
                          <w:bottom w:val="single" w:sz="6" w:space="0" w:color="000000"/>
                          <w:right w:val="single" w:sz="6" w:space="0" w:color="000000"/>
                        </w:tcBorders>
                      </w:tcPr>
                      <w:p>
                        <w:pPr>
                          <w:rPr>
                            <w:sz w:val="2"/>
                            <w:szCs w:val="2"/>
                          </w:rPr>
                        </w:pPr>
                      </w:p>
                    </w:tc>
                    <w:tc>
                      <w:tcPr>
                        <w:tcW w:w="1276" w:type="dxa"/>
                        <w:vMerge/>
                        <w:tcBorders>
                          <w:top w:val="nil"/>
                          <w:left w:val="single" w:sz="6" w:space="0" w:color="000000"/>
                          <w:bottom w:val="single" w:sz="6" w:space="0" w:color="000000"/>
                          <w:right w:val="single" w:sz="6" w:space="0" w:color="000000"/>
                        </w:tcBorders>
                      </w:tcPr>
                      <w:p>
                        <w:pPr>
                          <w:rPr>
                            <w:sz w:val="2"/>
                            <w:szCs w:val="2"/>
                          </w:rPr>
                        </w:pPr>
                      </w:p>
                    </w:tc>
                    <w:tc>
                      <w:tcPr>
                        <w:tcW w:w="1274" w:type="dxa"/>
                        <w:vMerge/>
                        <w:tcBorders>
                          <w:top w:val="nil"/>
                          <w:left w:val="single" w:sz="6" w:space="0" w:color="000000"/>
                          <w:bottom w:val="single" w:sz="6" w:space="0" w:color="000000"/>
                          <w:right w:val="single" w:sz="6" w:space="0" w:color="000000"/>
                        </w:tcBorders>
                      </w:tcPr>
                      <w:p>
                        <w:pPr>
                          <w:rPr>
                            <w:sz w:val="2"/>
                            <w:szCs w:val="2"/>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spacing w:before="26"/>
                          <w:ind w:left="342" w:right="317"/>
                          <w:jc w:val="center"/>
                          <w:rPr>
                            <w:sz w:val="21"/>
                          </w:rPr>
                        </w:pPr>
                        <w:r>
                          <w:rPr>
                            <w:sz w:val="21"/>
                          </w:rPr>
                          <w:t>昼间</w:t>
                        </w:r>
                      </w:p>
                    </w:tc>
                    <w:tc>
                      <w:tcPr>
                        <w:tcW w:w="1063" w:type="dxa"/>
                        <w:tcBorders>
                          <w:top w:val="single" w:sz="6" w:space="0" w:color="000000"/>
                          <w:left w:val="single" w:sz="6" w:space="0" w:color="000000"/>
                          <w:bottom w:val="single" w:sz="6" w:space="0" w:color="000000"/>
                          <w:right w:val="nil"/>
                        </w:tcBorders>
                      </w:tcPr>
                      <w:p>
                        <w:pPr>
                          <w:pStyle w:val="TableParagraph"/>
                          <w:spacing w:before="26"/>
                          <w:ind w:left="311" w:right="284"/>
                          <w:jc w:val="center"/>
                          <w:rPr>
                            <w:sz w:val="21"/>
                          </w:rPr>
                        </w:pPr>
                        <w:r>
                          <w:rPr>
                            <w:sz w:val="21"/>
                          </w:rPr>
                          <w:t>夜间</w:t>
                        </w:r>
                      </w:p>
                    </w:tc>
                  </w:tr>
                  <w:tr>
                    <w:trPr>
                      <w:trHeight w:val="324" w:hRule="atLeast"/>
                    </w:trPr>
                    <w:tc>
                      <w:tcPr>
                        <w:tcW w:w="3757" w:type="dxa"/>
                        <w:tcBorders>
                          <w:top w:val="single" w:sz="6" w:space="0" w:color="000000"/>
                          <w:left w:val="nil"/>
                          <w:right w:val="single" w:sz="6" w:space="0" w:color="000000"/>
                        </w:tcBorders>
                      </w:tcPr>
                      <w:p>
                        <w:pPr>
                          <w:pStyle w:val="TableParagraph"/>
                          <w:spacing w:before="27"/>
                          <w:ind w:left="210"/>
                          <w:rPr>
                            <w:sz w:val="21"/>
                          </w:rPr>
                        </w:pPr>
                        <w:r>
                          <w:rPr>
                            <w:sz w:val="21"/>
                          </w:rPr>
                          <w:t>《工业企业厂界环境噪声排放标准》</w:t>
                        </w:r>
                      </w:p>
                    </w:tc>
                    <w:tc>
                      <w:tcPr>
                        <w:tcW w:w="1276" w:type="dxa"/>
                        <w:tcBorders>
                          <w:top w:val="single" w:sz="6" w:space="0" w:color="000000"/>
                          <w:left w:val="single" w:sz="6" w:space="0" w:color="000000"/>
                          <w:right w:val="single" w:sz="6" w:space="0" w:color="000000"/>
                        </w:tcBorders>
                      </w:tcPr>
                      <w:p>
                        <w:pPr>
                          <w:pStyle w:val="TableParagraph"/>
                          <w:spacing w:before="27"/>
                          <w:ind w:left="439" w:right="414"/>
                          <w:jc w:val="center"/>
                          <w:rPr>
                            <w:sz w:val="21"/>
                          </w:rPr>
                        </w:pPr>
                        <w:r>
                          <w:rPr>
                            <w:rFonts w:ascii="Times New Roman" w:eastAsia="Times New Roman"/>
                            <w:sz w:val="21"/>
                          </w:rPr>
                          <w:t>2 </w:t>
                        </w:r>
                        <w:r>
                          <w:rPr>
                            <w:sz w:val="21"/>
                          </w:rPr>
                          <w:t>类</w:t>
                        </w:r>
                      </w:p>
                    </w:tc>
                    <w:tc>
                      <w:tcPr>
                        <w:tcW w:w="1274" w:type="dxa"/>
                        <w:tcBorders>
                          <w:top w:val="single" w:sz="6" w:space="0" w:color="000000"/>
                          <w:left w:val="single" w:sz="6" w:space="0" w:color="000000"/>
                          <w:right w:val="single" w:sz="6" w:space="0" w:color="000000"/>
                        </w:tcBorders>
                      </w:tcPr>
                      <w:p>
                        <w:pPr>
                          <w:pStyle w:val="TableParagraph"/>
                          <w:spacing w:before="24"/>
                          <w:ind w:left="70"/>
                          <w:rPr>
                            <w:rFonts w:ascii="Times New Roman" w:eastAsia="Times New Roman"/>
                            <w:sz w:val="21"/>
                          </w:rPr>
                        </w:pPr>
                        <w:r>
                          <w:rPr>
                            <w:spacing w:val="-11"/>
                            <w:position w:val="2"/>
                            <w:sz w:val="21"/>
                          </w:rPr>
                          <w:t>等效声级 </w:t>
                        </w:r>
                        <w:r>
                          <w:rPr>
                            <w:rFonts w:ascii="Times New Roman" w:eastAsia="Times New Roman"/>
                            <w:position w:val="2"/>
                            <w:sz w:val="21"/>
                          </w:rPr>
                          <w:t>L</w:t>
                        </w:r>
                        <w:r>
                          <w:rPr>
                            <w:rFonts w:ascii="Times New Roman" w:eastAsia="Times New Roman"/>
                            <w:position w:val="2"/>
                            <w:sz w:val="21"/>
                            <w:vertAlign w:val="subscript"/>
                          </w:rPr>
                          <w:t>eq</w:t>
                        </w:r>
                      </w:p>
                    </w:tc>
                    <w:tc>
                      <w:tcPr>
                        <w:tcW w:w="1135" w:type="dxa"/>
                        <w:tcBorders>
                          <w:top w:val="single" w:sz="6" w:space="0" w:color="000000"/>
                          <w:left w:val="single" w:sz="6" w:space="0" w:color="000000"/>
                          <w:right w:val="single" w:sz="6" w:space="0" w:color="000000"/>
                        </w:tcBorders>
                      </w:tcPr>
                      <w:p>
                        <w:pPr>
                          <w:pStyle w:val="TableParagraph"/>
                          <w:spacing w:before="41"/>
                          <w:ind w:left="342" w:right="314"/>
                          <w:jc w:val="center"/>
                          <w:rPr>
                            <w:rFonts w:ascii="Times New Roman"/>
                            <w:sz w:val="21"/>
                          </w:rPr>
                        </w:pPr>
                        <w:r>
                          <w:rPr>
                            <w:rFonts w:ascii="Times New Roman"/>
                            <w:sz w:val="21"/>
                          </w:rPr>
                          <w:t>60</w:t>
                        </w:r>
                      </w:p>
                    </w:tc>
                    <w:tc>
                      <w:tcPr>
                        <w:tcW w:w="1063" w:type="dxa"/>
                        <w:tcBorders>
                          <w:top w:val="single" w:sz="6" w:space="0" w:color="000000"/>
                          <w:left w:val="single" w:sz="6" w:space="0" w:color="000000"/>
                          <w:right w:val="nil"/>
                        </w:tcBorders>
                      </w:tcPr>
                      <w:p>
                        <w:pPr>
                          <w:pStyle w:val="TableParagraph"/>
                          <w:spacing w:before="41"/>
                          <w:ind w:left="310" w:right="284"/>
                          <w:jc w:val="center"/>
                          <w:rPr>
                            <w:rFonts w:ascii="Times New Roman"/>
                            <w:sz w:val="21"/>
                          </w:rPr>
                        </w:pPr>
                        <w:r>
                          <w:rPr>
                            <w:rFonts w:ascii="Times New Roman"/>
                            <w:sz w:val="21"/>
                          </w:rPr>
                          <w:t>50</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Heading1"/>
        <w:numPr>
          <w:ilvl w:val="0"/>
          <w:numId w:val="2"/>
        </w:numPr>
        <w:tabs>
          <w:tab w:pos="437" w:val="left" w:leader="none"/>
        </w:tabs>
        <w:spacing w:line="240" w:lineRule="auto" w:before="60" w:after="0"/>
        <w:ind w:left="436" w:right="0" w:hanging="210"/>
        <w:jc w:val="left"/>
      </w:pPr>
      <w:r>
        <w:rPr/>
        <w:pict>
          <v:group style="position:absolute;margin-left:58.66pt;margin-top:93.550011pt;width:483.65pt;height:691.4pt;mso-position-horizontal-relative:page;mso-position-vertical-relative:page;z-index:-256977920" coordorigin="1173,1871" coordsize="9673,13828">
            <v:shape style="position:absolute;left:1173;top:1145;width:9673;height:13823" coordorigin="1173,1145" coordsize="9673,13823" path="m1173,1876l10846,1876m1173,15694l10846,15694m1178,1871l1178,15689m10841,1871l10841,15689e" filled="false" stroked="true" strokeweight=".48pt" strokecolor="#000000">
              <v:path arrowok="t"/>
              <v:stroke dashstyle="solid"/>
            </v:shape>
            <v:shape style="position:absolute;left:1967;top:4678;width:7673;height:909" type="#_x0000_t75" stroked="false">
              <v:imagedata r:id="rId10" o:title=""/>
            </v:shape>
            <w10:wrap type="none"/>
          </v:group>
        </w:pict>
      </w:r>
      <w:bookmarkStart w:name="5建设项目工程分析" w:id="31"/>
      <w:bookmarkEnd w:id="31"/>
      <w:r>
        <w:rPr/>
      </w:r>
      <w:bookmarkStart w:name="_bookmark8" w:id="32"/>
      <w:bookmarkEnd w:id="32"/>
      <w:r>
        <w:rPr/>
      </w:r>
      <w:bookmarkStart w:name="_bookmark8" w:id="33"/>
      <w:bookmarkEnd w:id="33"/>
      <w:r>
        <w:rPr>
          <w:spacing w:val="-3"/>
        </w:rPr>
        <w:t>建设项目工程分析</w:t>
      </w:r>
    </w:p>
    <w:p>
      <w:pPr>
        <w:pStyle w:val="BodyText"/>
        <w:spacing w:before="2"/>
        <w:rPr>
          <w:rFonts w:ascii="黑体"/>
          <w:sz w:val="21"/>
        </w:rPr>
      </w:pPr>
    </w:p>
    <w:p>
      <w:pPr>
        <w:pStyle w:val="ListParagraph"/>
        <w:numPr>
          <w:ilvl w:val="1"/>
          <w:numId w:val="10"/>
        </w:numPr>
        <w:tabs>
          <w:tab w:pos="627" w:val="left" w:leader="none"/>
        </w:tabs>
        <w:spacing w:line="240" w:lineRule="auto" w:before="1" w:after="0"/>
        <w:ind w:left="626" w:right="0" w:hanging="361"/>
        <w:jc w:val="left"/>
        <w:rPr>
          <w:rFonts w:ascii="黑体" w:eastAsia="黑体" w:hint="eastAsia"/>
          <w:sz w:val="24"/>
        </w:rPr>
      </w:pPr>
      <w:bookmarkStart w:name="5.1工艺流程简述（图示）" w:id="34"/>
      <w:bookmarkEnd w:id="34"/>
      <w:r>
        <w:rPr/>
      </w:r>
      <w:bookmarkStart w:name="_bookmark9" w:id="35"/>
      <w:bookmarkEnd w:id="35"/>
      <w:r>
        <w:rPr/>
      </w:r>
      <w:bookmarkStart w:name="_bookmark9" w:id="36"/>
      <w:bookmarkEnd w:id="36"/>
      <w:r>
        <w:rPr>
          <w:rFonts w:ascii="黑体" w:eastAsia="黑体" w:hint="eastAsia"/>
          <w:sz w:val="24"/>
        </w:rPr>
        <w:t>工艺流程简述</w:t>
      </w:r>
      <w:r>
        <w:rPr>
          <w:rFonts w:ascii="黑体" w:eastAsia="黑体" w:hint="eastAsia"/>
          <w:sz w:val="24"/>
        </w:rPr>
        <w:t>（图示）</w:t>
      </w:r>
    </w:p>
    <w:p>
      <w:pPr>
        <w:pStyle w:val="BodyText"/>
        <w:spacing w:line="357" w:lineRule="auto" w:before="153"/>
        <w:ind w:left="266" w:right="292" w:firstLine="480"/>
        <w:jc w:val="both"/>
      </w:pPr>
      <w:r>
        <w:rPr/>
        <w:t>该项目为非金属矿的露天开采，开采的页岩矿直接运输至东侧页岩砖厂进行生产。由于项目开采规模较小且与砖厂紧邻，项目矿区不需要修建厂房、办公用房等建设，表土剥离与采矿同时进行，因此本次环评不对施工期进行描述</w:t>
      </w:r>
    </w:p>
    <w:p>
      <w:pPr>
        <w:pStyle w:val="Heading2"/>
        <w:spacing w:before="5"/>
        <w:ind w:left="746"/>
      </w:pPr>
      <w:r>
        <w:rPr>
          <w:rFonts w:ascii="Times New Roman" w:eastAsia="Times New Roman"/>
        </w:rPr>
        <w:t>1</w:t>
      </w:r>
      <w:r>
        <w:rPr/>
        <w:t>、矿山开采工艺流程及产污环节</w:t>
      </w:r>
    </w:p>
    <w:p>
      <w:pPr>
        <w:pStyle w:val="BodyText"/>
        <w:spacing w:before="11"/>
        <w:rPr>
          <w:b/>
          <w:sz w:val="8"/>
        </w:rPr>
      </w:pPr>
    </w:p>
    <w:p>
      <w:pPr>
        <w:tabs>
          <w:tab w:pos="2379" w:val="left" w:leader="none"/>
          <w:tab w:pos="3903" w:val="left" w:leader="none"/>
          <w:tab w:pos="5516" w:val="left" w:leader="none"/>
        </w:tabs>
        <w:spacing w:before="74"/>
        <w:ind w:left="5" w:right="0" w:firstLine="0"/>
        <w:jc w:val="center"/>
        <w:rPr>
          <w:sz w:val="21"/>
        </w:rPr>
      </w:pPr>
      <w:r>
        <w:rPr>
          <w:sz w:val="21"/>
        </w:rPr>
        <w:t>粉尘、噪声、生态破坏</w:t>
        <w:tab/>
      </w:r>
      <w:r>
        <w:rPr>
          <w:position w:val="4"/>
          <w:sz w:val="21"/>
        </w:rPr>
        <w:t>粉尘、噪声</w:t>
        <w:tab/>
      </w:r>
      <w:r>
        <w:rPr>
          <w:sz w:val="21"/>
        </w:rPr>
        <w:t>粉尘、噪声</w:t>
        <w:tab/>
      </w:r>
      <w:r>
        <w:rPr>
          <w:position w:val="8"/>
          <w:sz w:val="21"/>
        </w:rPr>
        <w:t>粉尘</w:t>
      </w:r>
    </w:p>
    <w:p>
      <w:pPr>
        <w:pStyle w:val="BodyText"/>
        <w:rPr>
          <w:sz w:val="20"/>
        </w:rPr>
      </w:pPr>
    </w:p>
    <w:p>
      <w:pPr>
        <w:pStyle w:val="BodyText"/>
        <w:spacing w:before="10"/>
        <w:rPr>
          <w:sz w:val="18"/>
        </w:rPr>
      </w:pPr>
    </w:p>
    <w:p>
      <w:pPr>
        <w:tabs>
          <w:tab w:pos="1660" w:val="left" w:leader="none"/>
          <w:tab w:pos="3177" w:val="left" w:leader="none"/>
          <w:tab w:pos="4749" w:val="left" w:leader="none"/>
          <w:tab w:pos="6203" w:val="left" w:leader="none"/>
        </w:tabs>
        <w:spacing w:before="0"/>
        <w:ind w:left="0" w:right="328" w:firstLine="0"/>
        <w:jc w:val="center"/>
        <w:rPr>
          <w:sz w:val="21"/>
        </w:rPr>
      </w:pPr>
      <w:r>
        <w:rPr>
          <w:position w:val="6"/>
          <w:sz w:val="21"/>
        </w:rPr>
        <w:t>矿体</w:t>
        <w:tab/>
      </w:r>
      <w:r>
        <w:rPr>
          <w:position w:val="3"/>
          <w:sz w:val="21"/>
        </w:rPr>
        <w:t>剥离</w:t>
        <w:tab/>
      </w:r>
      <w:r>
        <w:rPr>
          <w:color w:val="FF0000"/>
          <w:position w:val="4"/>
          <w:sz w:val="21"/>
        </w:rPr>
        <w:t>采</w:t>
      </w:r>
      <w:r>
        <w:rPr>
          <w:color w:val="FF0000"/>
          <w:spacing w:val="-1"/>
          <w:position w:val="4"/>
          <w:sz w:val="21"/>
        </w:rPr>
        <w:t> </w:t>
      </w:r>
      <w:r>
        <w:rPr>
          <w:color w:val="FF0000"/>
          <w:position w:val="4"/>
          <w:sz w:val="21"/>
        </w:rPr>
        <w:t>矿</w:t>
        <w:tab/>
      </w:r>
      <w:r>
        <w:rPr>
          <w:sz w:val="21"/>
        </w:rPr>
        <w:t>运</w:t>
      </w:r>
      <w:r>
        <w:rPr>
          <w:spacing w:val="1"/>
          <w:sz w:val="21"/>
        </w:rPr>
        <w:t> </w:t>
      </w:r>
      <w:r>
        <w:rPr>
          <w:sz w:val="21"/>
        </w:rPr>
        <w:t>输</w:t>
        <w:tab/>
      </w:r>
      <w:r>
        <w:rPr>
          <w:position w:val="1"/>
          <w:sz w:val="21"/>
        </w:rPr>
        <w:t>卸车储存</w:t>
      </w:r>
    </w:p>
    <w:p>
      <w:pPr>
        <w:pStyle w:val="Heading2"/>
        <w:spacing w:before="169"/>
        <w:ind w:left="106"/>
        <w:jc w:val="center"/>
      </w:pPr>
      <w:r>
        <w:rPr/>
        <w:t>图 </w:t>
      </w:r>
      <w:r>
        <w:rPr>
          <w:rFonts w:ascii="Times New Roman" w:eastAsia="Times New Roman"/>
        </w:rPr>
        <w:t>5.1  </w:t>
      </w:r>
      <w:r>
        <w:rPr/>
        <w:t>矿石开采工艺流程及产污环节示意图</w:t>
      </w:r>
    </w:p>
    <w:p>
      <w:pPr>
        <w:pStyle w:val="BodyText"/>
        <w:spacing w:before="153"/>
        <w:ind w:left="746"/>
      </w:pPr>
      <w:r>
        <w:rPr/>
        <w:t>采矿工艺流程：</w:t>
      </w:r>
    </w:p>
    <w:p>
      <w:pPr>
        <w:pStyle w:val="BodyText"/>
        <w:spacing w:line="357" w:lineRule="auto" w:before="153"/>
        <w:ind w:left="266" w:right="118" w:firstLine="480"/>
      </w:pPr>
      <w:r>
        <w:rPr/>
        <w:t>项目页岩矿采用挖掘机去除表层植被，然后用挖掘机采剥并举，剥离先行，采矿跟进， 先上后下分台阶进行采矿，采挖的页岩矿直接运输至页岩砖厂。项目不采用爆破作业。</w:t>
      </w:r>
    </w:p>
    <w:p>
      <w:pPr>
        <w:pStyle w:val="ListParagraph"/>
        <w:numPr>
          <w:ilvl w:val="1"/>
          <w:numId w:val="10"/>
        </w:numPr>
        <w:tabs>
          <w:tab w:pos="627" w:val="left" w:leader="none"/>
        </w:tabs>
        <w:spacing w:line="240" w:lineRule="auto" w:before="3" w:after="0"/>
        <w:ind w:left="626" w:right="0" w:hanging="361"/>
        <w:jc w:val="left"/>
        <w:rPr>
          <w:rFonts w:ascii="黑体" w:eastAsia="黑体" w:hint="eastAsia"/>
          <w:sz w:val="24"/>
        </w:rPr>
      </w:pPr>
      <w:bookmarkStart w:name="5.2主要污染工序" w:id="37"/>
      <w:bookmarkEnd w:id="37"/>
      <w:r>
        <w:rPr/>
      </w:r>
      <w:bookmarkStart w:name="_bookmark10" w:id="38"/>
      <w:bookmarkEnd w:id="38"/>
      <w:r>
        <w:rPr/>
      </w:r>
      <w:bookmarkStart w:name="_bookmark10" w:id="39"/>
      <w:bookmarkEnd w:id="39"/>
      <w:r>
        <w:rPr>
          <w:rFonts w:ascii="黑体" w:eastAsia="黑体" w:hint="eastAsia"/>
          <w:sz w:val="24"/>
        </w:rPr>
        <w:t>主要污染工序</w:t>
      </w:r>
    </w:p>
    <w:p>
      <w:pPr>
        <w:pStyle w:val="BodyText"/>
        <w:spacing w:line="357" w:lineRule="auto" w:before="154"/>
        <w:ind w:left="266" w:right="292" w:firstLine="480"/>
      </w:pPr>
      <w:r>
        <w:rPr/>
        <w:t>项目矿区不进行厂房及办公用房的建设，表土剥离与采矿同时进行，因此本次环评不对施工期进行描述。</w:t>
      </w:r>
    </w:p>
    <w:p>
      <w:pPr>
        <w:pStyle w:val="Heading2"/>
        <w:numPr>
          <w:ilvl w:val="2"/>
          <w:numId w:val="10"/>
        </w:numPr>
        <w:tabs>
          <w:tab w:pos="1287" w:val="left" w:leader="none"/>
        </w:tabs>
        <w:spacing w:line="240" w:lineRule="auto" w:before="2" w:after="0"/>
        <w:ind w:left="1286" w:right="0" w:hanging="541"/>
        <w:jc w:val="left"/>
      </w:pPr>
      <w:r>
        <w:rPr/>
        <w:t>废气污染源强分析</w:t>
      </w:r>
    </w:p>
    <w:p>
      <w:pPr>
        <w:pStyle w:val="BodyText"/>
        <w:spacing w:line="357" w:lineRule="auto" w:before="154"/>
        <w:ind w:left="266" w:right="292" w:firstLine="480"/>
      </w:pPr>
      <w:r>
        <w:rPr/>
        <w:t>本项目页岩矿开采过程中产生的废气为开采粉尘、页岩矿装卸扬尘、运输扬尘和挖掘机机械尾气。</w:t>
      </w:r>
    </w:p>
    <w:p>
      <w:pPr>
        <w:pStyle w:val="BodyText"/>
        <w:spacing w:before="3"/>
        <w:ind w:left="746"/>
      </w:pPr>
      <w:r>
        <w:rPr>
          <w:rFonts w:ascii="Times New Roman" w:eastAsia="Times New Roman"/>
        </w:rPr>
        <w:t>1</w:t>
      </w:r>
      <w:r>
        <w:rPr/>
        <w:t>、采矿区废气</w:t>
      </w:r>
    </w:p>
    <w:p>
      <w:pPr>
        <w:pStyle w:val="BodyText"/>
        <w:spacing w:line="360" w:lineRule="auto" w:before="153"/>
        <w:ind w:left="266" w:right="289" w:firstLine="480"/>
        <w:jc w:val="both"/>
      </w:pPr>
      <w:r>
        <w:rPr/>
        <w:t>矿山采矿前需进行表层采剥作业，采剥过程中主要是采用了挖掘机进行开挖表土，采剥扬尘只会在挖掘机运作时产生。根据《矿山粉尘的产尘强度和沉积量指标》一文并结合</w:t>
      </w:r>
      <w:r>
        <w:rPr>
          <w:spacing w:val="-1"/>
        </w:rPr>
        <w:t>项目的实际情况，在干燥的情况下，挖掘机运作时扬尘产生量约为 </w:t>
      </w:r>
      <w:r>
        <w:rPr>
          <w:rFonts w:ascii="Times New Roman" w:hAnsi="Times New Roman" w:eastAsia="Times New Roman"/>
        </w:rPr>
        <w:t>300mg/s·</w:t>
      </w:r>
      <w:r>
        <w:rPr/>
        <w:t>台。矿区共设</w:t>
      </w:r>
      <w:r>
        <w:rPr>
          <w:spacing w:val="-30"/>
        </w:rPr>
        <w:t>置 </w:t>
      </w:r>
      <w:r>
        <w:rPr>
          <w:rFonts w:ascii="Times New Roman" w:hAnsi="Times New Roman" w:eastAsia="Times New Roman"/>
        </w:rPr>
        <w:t>1 </w:t>
      </w:r>
      <w:r>
        <w:rPr>
          <w:spacing w:val="-6"/>
        </w:rPr>
        <w:t>台挖掘机，工作制度为 </w:t>
      </w:r>
      <w:r>
        <w:rPr>
          <w:rFonts w:ascii="Times New Roman" w:hAnsi="Times New Roman" w:eastAsia="Times New Roman"/>
        </w:rPr>
        <w:t>1 </w:t>
      </w:r>
      <w:r>
        <w:rPr/>
        <w:t>班</w:t>
      </w:r>
      <w:r>
        <w:rPr>
          <w:rFonts w:ascii="Times New Roman" w:hAnsi="Times New Roman" w:eastAsia="Times New Roman"/>
        </w:rPr>
        <w:t>/</w:t>
      </w:r>
      <w:r>
        <w:rPr/>
        <w:t>天，</w:t>
      </w:r>
      <w:r>
        <w:rPr>
          <w:rFonts w:ascii="Times New Roman" w:hAnsi="Times New Roman" w:eastAsia="Times New Roman"/>
        </w:rPr>
        <w:t>5 </w:t>
      </w:r>
      <w:r>
        <w:rPr/>
        <w:t>小时</w:t>
      </w:r>
      <w:r>
        <w:rPr>
          <w:rFonts w:ascii="Times New Roman" w:hAnsi="Times New Roman" w:eastAsia="Times New Roman"/>
        </w:rPr>
        <w:t>/</w:t>
      </w:r>
      <w:r>
        <w:rPr>
          <w:spacing w:val="-7"/>
        </w:rPr>
        <w:t>班，年运营天数为 </w:t>
      </w:r>
      <w:r>
        <w:rPr>
          <w:rFonts w:ascii="Times New Roman" w:hAnsi="Times New Roman" w:eastAsia="Times New Roman"/>
        </w:rPr>
        <w:t>210 </w:t>
      </w:r>
      <w:r>
        <w:rPr>
          <w:spacing w:val="-2"/>
        </w:rPr>
        <w:t>天，因此在生产过程挖</w:t>
      </w:r>
      <w:r>
        <w:rPr>
          <w:spacing w:val="-1"/>
        </w:rPr>
        <w:t>掘机所造成的采剥扬尘产生量为 </w:t>
      </w:r>
      <w:r>
        <w:rPr>
          <w:rFonts w:ascii="Times New Roman" w:hAnsi="Times New Roman" w:eastAsia="Times New Roman"/>
        </w:rPr>
        <w:t>1.13t/a</w:t>
      </w:r>
      <w:r>
        <w:rPr/>
        <w:t>。建设单位在开挖的时候进行水喷淋降尘处理，提</w:t>
      </w:r>
      <w:r>
        <w:rPr>
          <w:spacing w:val="-2"/>
        </w:rPr>
        <w:t>高水喷淋频率，可使其处理效率达 </w:t>
      </w:r>
      <w:r>
        <w:rPr>
          <w:rFonts w:ascii="Times New Roman" w:hAnsi="Times New Roman" w:eastAsia="Times New Roman"/>
        </w:rPr>
        <w:t>85%</w:t>
      </w:r>
      <w:r>
        <w:rPr/>
        <w:t>以上。故采取上述处理方式后，生产过程挖掘机扬</w:t>
      </w:r>
      <w:r>
        <w:rPr>
          <w:spacing w:val="-11"/>
        </w:rPr>
        <w:t>尘排放量为 </w:t>
      </w:r>
      <w:r>
        <w:rPr>
          <w:rFonts w:ascii="Times New Roman" w:hAnsi="Times New Roman" w:eastAsia="Times New Roman"/>
        </w:rPr>
        <w:t>0.17t/a</w:t>
      </w:r>
      <w:r>
        <w:rPr/>
        <w:t>。</w:t>
      </w:r>
    </w:p>
    <w:p>
      <w:pPr>
        <w:pStyle w:val="BodyText"/>
        <w:spacing w:line="297" w:lineRule="exact"/>
        <w:ind w:left="746"/>
      </w:pPr>
      <w:r>
        <w:rPr>
          <w:rFonts w:ascii="Times New Roman" w:eastAsia="Times New Roman"/>
        </w:rPr>
        <w:t>2</w:t>
      </w:r>
      <w:r>
        <w:rPr/>
        <w:t>、装卸扬尘</w:t>
      </w:r>
    </w:p>
    <w:p>
      <w:pPr>
        <w:pStyle w:val="BodyText"/>
        <w:spacing w:before="153"/>
        <w:ind w:left="746"/>
      </w:pPr>
      <w:r>
        <w:rPr/>
        <w:t>挖掘机将页岩矿装入装载车辆运至砖厂堆放场，装卸过程会产生一定量的扬尘。根据</w:t>
      </w:r>
    </w:p>
    <w:p>
      <w:pPr>
        <w:pStyle w:val="BodyText"/>
        <w:spacing w:before="154"/>
        <w:ind w:left="266"/>
        <w:rPr>
          <w:rFonts w:ascii="Times New Roman" w:hAnsi="Times New Roman" w:eastAsia="Times New Roman"/>
        </w:rPr>
      </w:pPr>
      <w:r>
        <w:rPr>
          <w:spacing w:val="-5"/>
        </w:rPr>
        <w:t>《逸散性工业粉尘控制技术》中逸散粉尘产生量为 </w:t>
      </w:r>
      <w:r>
        <w:rPr>
          <w:rFonts w:ascii="Times New Roman" w:hAnsi="Times New Roman" w:eastAsia="Times New Roman"/>
        </w:rPr>
        <w:t>0.01k</w:t>
      </w:r>
      <w:r>
        <w:rPr>
          <w:rFonts w:ascii="Times New Roman" w:hAnsi="Times New Roman" w:eastAsia="Times New Roman"/>
          <w:spacing w:val="-3"/>
        </w:rPr>
        <w:t>g</w:t>
      </w:r>
      <w:r>
        <w:rPr>
          <w:rFonts w:ascii="Times New Roman" w:hAnsi="Times New Roman" w:eastAsia="Times New Roman"/>
        </w:rPr>
        <w:t>/</w:t>
      </w:r>
      <w:r>
        <w:rPr>
          <w:rFonts w:ascii="Times New Roman" w:hAnsi="Times New Roman" w:eastAsia="Times New Roman"/>
          <w:spacing w:val="-22"/>
        </w:rPr>
        <w:t>t</w:t>
      </w:r>
      <w:r>
        <w:rPr/>
        <w:t>（矿石</w:t>
      </w:r>
      <w:r>
        <w:rPr>
          <w:spacing w:val="-120"/>
        </w:rPr>
        <w:t>）</w:t>
      </w:r>
      <w:r>
        <w:rPr>
          <w:spacing w:val="-12"/>
        </w:rPr>
        <w:t>，本项目年开采 </w:t>
      </w:r>
      <w:r>
        <w:rPr>
          <w:rFonts w:ascii="Times New Roman" w:hAnsi="Times New Roman" w:eastAsia="Times New Roman"/>
        </w:rPr>
        <w:t>1.4 </w:t>
      </w:r>
      <w:r>
        <w:rPr>
          <w:spacing w:val="-30"/>
        </w:rPr>
        <w:t>万 </w:t>
      </w:r>
      <w:r>
        <w:rPr>
          <w:rFonts w:ascii="Times New Roman" w:hAnsi="Times New Roman" w:eastAsia="Times New Roman"/>
        </w:rPr>
        <w:t>m³</w:t>
      </w:r>
    </w:p>
    <w:p>
      <w:pPr>
        <w:pStyle w:val="BodyText"/>
        <w:spacing w:before="150"/>
        <w:ind w:left="266"/>
      </w:pPr>
      <w:r>
        <w:rPr/>
        <w:t>页岩矿，则本项目采装矿石逸散粉尘产生量为 </w:t>
      </w:r>
      <w:r>
        <w:rPr>
          <w:rFonts w:ascii="Times New Roman" w:eastAsia="Times New Roman"/>
        </w:rPr>
        <w:t>0.37t/a</w:t>
      </w:r>
      <w:r>
        <w:rPr/>
        <w:t>。根据《逸散性工业粉尘控制技术》</w:t>
      </w:r>
    </w:p>
    <w:p>
      <w:pPr>
        <w:spacing w:after="0"/>
        <w:sectPr>
          <w:pgSz w:w="11910" w:h="16840"/>
          <w:pgMar w:header="0" w:footer="770" w:top="1300" w:bottom="960" w:left="1020" w:right="880"/>
        </w:sectPr>
      </w:pPr>
    </w:p>
    <w:p>
      <w:pPr>
        <w:pStyle w:val="BodyText"/>
        <w:spacing w:line="360" w:lineRule="auto" w:before="147"/>
        <w:ind w:left="266" w:right="292"/>
      </w:pPr>
      <w:r>
        <w:rPr/>
        <w:t>中关于逸散粉尘控制技术、效率的分析可知，加大采场洒水降尘次数和加强管理等措施， 除尘效率约为 </w:t>
      </w:r>
      <w:r>
        <w:rPr>
          <w:rFonts w:ascii="Times New Roman" w:eastAsia="Times New Roman"/>
        </w:rPr>
        <w:t>80%</w:t>
      </w:r>
      <w:r>
        <w:rPr/>
        <w:t>，则装卸过程粉尘排放量为 </w:t>
      </w:r>
      <w:r>
        <w:rPr>
          <w:rFonts w:ascii="Times New Roman" w:eastAsia="Times New Roman"/>
        </w:rPr>
        <w:t>0.074t/a</w:t>
      </w:r>
      <w:r>
        <w:rPr/>
        <w:t>。</w:t>
      </w:r>
    </w:p>
    <w:p>
      <w:pPr>
        <w:pStyle w:val="BodyText"/>
        <w:spacing w:line="304" w:lineRule="exact"/>
        <w:ind w:left="746"/>
      </w:pPr>
      <w:r>
        <w:rPr>
          <w:rFonts w:ascii="Times New Roman" w:eastAsia="Times New Roman"/>
        </w:rPr>
        <w:t>3</w:t>
      </w:r>
      <w:r>
        <w:rPr/>
        <w:t>、道路运输扬尘</w:t>
      </w:r>
    </w:p>
    <w:p>
      <w:pPr>
        <w:pStyle w:val="BodyText"/>
        <w:spacing w:line="357" w:lineRule="auto" w:before="153"/>
        <w:ind w:left="266" w:right="292" w:firstLine="480"/>
        <w:jc w:val="both"/>
      </w:pPr>
      <w:r>
        <w:rPr/>
        <w:t>项目已开采的页岩矿直接通过挖机运至东侧的页岩堆场进行堆放，车辆行驶会产生一定量的扬尘。项目道路扬尘污染主要为地面上遗撒泥砂因风力或车辆运输引起的扬尘。评价选用上海港环境保护中心和武汉水运工程学院提出的经验公式估算，经验公式为：</w:t>
      </w:r>
    </w:p>
    <w:p>
      <w:pPr>
        <w:spacing w:after="0" w:line="357" w:lineRule="auto"/>
        <w:jc w:val="both"/>
        <w:sectPr>
          <w:pgSz w:w="11910" w:h="16840"/>
          <w:pgMar w:header="0" w:footer="770" w:top="1220" w:bottom="1040" w:left="1020" w:right="880"/>
        </w:sectPr>
      </w:pPr>
    </w:p>
    <w:p>
      <w:pPr>
        <w:spacing w:line="220" w:lineRule="exact" w:before="131"/>
        <w:ind w:left="0" w:right="0" w:firstLine="0"/>
        <w:jc w:val="right"/>
        <w:rPr>
          <w:rFonts w:ascii="Times New Roman" w:hAnsi="Times New Roman" w:eastAsia="Times New Roman"/>
          <w:sz w:val="25"/>
        </w:rPr>
      </w:pPr>
      <w:r>
        <w:rPr>
          <w:rFonts w:ascii="Times New Roman" w:hAnsi="Times New Roman" w:eastAsia="Times New Roman"/>
          <w:i/>
          <w:w w:val="101"/>
          <w:sz w:val="25"/>
        </w:rPr>
        <w:t>Q</w:t>
      </w:r>
      <w:r>
        <w:rPr>
          <w:rFonts w:ascii="Times New Roman" w:hAnsi="Times New Roman" w:eastAsia="Times New Roman"/>
          <w:i/>
          <w:sz w:val="25"/>
        </w:rPr>
        <w:t> </w:t>
      </w:r>
      <w:r>
        <w:rPr>
          <w:rFonts w:ascii="Times New Roman" w:hAnsi="Times New Roman" w:eastAsia="Times New Roman"/>
          <w:i/>
          <w:spacing w:val="-18"/>
          <w:sz w:val="25"/>
        </w:rPr>
        <w:t> </w:t>
      </w:r>
      <w:r>
        <w:rPr>
          <w:rFonts w:ascii="Symbol" w:hAnsi="Symbol" w:eastAsia="Symbol"/>
          <w:w w:val="101"/>
          <w:sz w:val="25"/>
        </w:rPr>
        <w:t></w:t>
      </w:r>
      <w:r>
        <w:rPr>
          <w:rFonts w:ascii="Times New Roman" w:hAnsi="Times New Roman" w:eastAsia="Times New Roman"/>
          <w:spacing w:val="24"/>
          <w:sz w:val="25"/>
        </w:rPr>
        <w:t> </w:t>
      </w:r>
      <w:r>
        <w:rPr>
          <w:rFonts w:ascii="Times New Roman" w:hAnsi="Times New Roman" w:eastAsia="Times New Roman"/>
          <w:spacing w:val="19"/>
          <w:w w:val="101"/>
          <w:sz w:val="25"/>
        </w:rPr>
        <w:t>0</w:t>
      </w:r>
      <w:r>
        <w:rPr>
          <w:rFonts w:ascii="Times New Roman" w:hAnsi="Times New Roman" w:eastAsia="Times New Roman"/>
          <w:spacing w:val="9"/>
          <w:w w:val="101"/>
          <w:sz w:val="25"/>
        </w:rPr>
        <w:t>.</w:t>
      </w:r>
      <w:r>
        <w:rPr>
          <w:rFonts w:ascii="Times New Roman" w:hAnsi="Times New Roman" w:eastAsia="Times New Roman"/>
          <w:spacing w:val="19"/>
          <w:w w:val="101"/>
          <w:sz w:val="25"/>
        </w:rPr>
        <w:t>1</w:t>
      </w:r>
      <w:r>
        <w:rPr>
          <w:rFonts w:ascii="Times New Roman" w:hAnsi="Times New Roman" w:eastAsia="Times New Roman"/>
          <w:spacing w:val="-8"/>
          <w:w w:val="101"/>
          <w:sz w:val="25"/>
        </w:rPr>
        <w:t>2</w:t>
      </w:r>
      <w:r>
        <w:rPr>
          <w:spacing w:val="-227"/>
          <w:w w:val="101"/>
          <w:sz w:val="25"/>
        </w:rPr>
        <w:t>（</w:t>
      </w:r>
      <w:r>
        <w:rPr>
          <w:rFonts w:ascii="Times New Roman" w:hAnsi="Times New Roman" w:eastAsia="Times New Roman"/>
          <w:w w:val="101"/>
          <w:sz w:val="25"/>
        </w:rPr>
        <w:t>3</w:t>
      </w:r>
    </w:p>
    <w:p>
      <w:pPr>
        <w:spacing w:line="351" w:lineRule="exact" w:before="0"/>
        <w:ind w:left="121" w:right="0" w:firstLine="0"/>
        <w:jc w:val="left"/>
        <w:rPr>
          <w:rFonts w:ascii="Times New Roman" w:hAnsi="Times New Roman" w:eastAsia="Times New Roman"/>
          <w:i/>
          <w:sz w:val="25"/>
        </w:rPr>
      </w:pPr>
      <w:r>
        <w:rPr/>
        <w:br w:type="column"/>
      </w:r>
      <w:r>
        <w:rPr>
          <w:rFonts w:ascii="Times New Roman" w:hAnsi="Times New Roman" w:eastAsia="Times New Roman"/>
          <w:position w:val="16"/>
          <w:sz w:val="25"/>
        </w:rPr>
        <w:t>V </w:t>
      </w:r>
      <w:r>
        <w:rPr>
          <w:spacing w:val="-59"/>
          <w:sz w:val="25"/>
        </w:rPr>
        <w:t>）</w:t>
      </w:r>
      <w:r>
        <w:rPr>
          <w:rFonts w:ascii="Symbol" w:hAnsi="Symbol" w:eastAsia="Symbol"/>
          <w:spacing w:val="-59"/>
          <w:sz w:val="25"/>
        </w:rPr>
        <w:t></w:t>
      </w:r>
      <w:r>
        <w:rPr>
          <w:spacing w:val="-59"/>
          <w:sz w:val="25"/>
        </w:rPr>
        <w:t>（ </w:t>
      </w:r>
      <w:r>
        <w:rPr>
          <w:rFonts w:ascii="Times New Roman" w:hAnsi="Times New Roman" w:eastAsia="Times New Roman"/>
          <w:i/>
          <w:spacing w:val="-18"/>
          <w:position w:val="16"/>
          <w:sz w:val="25"/>
        </w:rPr>
        <w:t>M</w:t>
      </w:r>
    </w:p>
    <w:p>
      <w:pPr>
        <w:spacing w:line="224" w:lineRule="exact" w:before="127"/>
        <w:ind w:left="83" w:right="0" w:firstLine="0"/>
        <w:jc w:val="left"/>
        <w:rPr>
          <w:sz w:val="25"/>
        </w:rPr>
      </w:pPr>
      <w:r>
        <w:rPr/>
        <w:br w:type="column"/>
      </w:r>
      <w:r>
        <w:rPr>
          <w:spacing w:val="-111"/>
          <w:w w:val="101"/>
          <w:position w:val="-10"/>
          <w:sz w:val="25"/>
        </w:rPr>
        <w:t>）</w:t>
      </w:r>
      <w:r>
        <w:rPr>
          <w:rFonts w:ascii="Times New Roman" w:hAnsi="Times New Roman" w:eastAsia="Times New Roman"/>
          <w:spacing w:val="11"/>
          <w:w w:val="104"/>
          <w:sz w:val="14"/>
        </w:rPr>
        <w:t>0</w:t>
      </w:r>
      <w:r>
        <w:rPr>
          <w:rFonts w:ascii="Times New Roman" w:hAnsi="Times New Roman" w:eastAsia="Times New Roman"/>
          <w:spacing w:val="5"/>
          <w:w w:val="104"/>
          <w:sz w:val="14"/>
        </w:rPr>
        <w:t>.</w:t>
      </w:r>
      <w:r>
        <w:rPr>
          <w:rFonts w:ascii="Times New Roman" w:hAnsi="Times New Roman" w:eastAsia="Times New Roman"/>
          <w:spacing w:val="11"/>
          <w:w w:val="104"/>
          <w:sz w:val="14"/>
        </w:rPr>
        <w:t>8</w:t>
      </w:r>
      <w:r>
        <w:rPr>
          <w:rFonts w:ascii="Times New Roman" w:hAnsi="Times New Roman" w:eastAsia="Times New Roman"/>
          <w:w w:val="104"/>
          <w:sz w:val="14"/>
        </w:rPr>
        <w:t>5</w:t>
      </w:r>
      <w:r>
        <w:rPr>
          <w:rFonts w:ascii="Times New Roman" w:hAnsi="Times New Roman" w:eastAsia="Times New Roman"/>
          <w:sz w:val="14"/>
        </w:rPr>
        <w:t> </w:t>
      </w:r>
      <w:r>
        <w:rPr>
          <w:rFonts w:ascii="Times New Roman" w:hAnsi="Times New Roman" w:eastAsia="Times New Roman"/>
          <w:spacing w:val="6"/>
          <w:sz w:val="14"/>
        </w:rPr>
        <w:t> </w:t>
      </w:r>
      <w:r>
        <w:rPr>
          <w:rFonts w:ascii="Symbol" w:hAnsi="Symbol" w:eastAsia="Symbol"/>
          <w:spacing w:val="-109"/>
          <w:w w:val="101"/>
          <w:position w:val="-10"/>
          <w:sz w:val="25"/>
        </w:rPr>
        <w:t></w:t>
      </w:r>
      <w:r>
        <w:rPr>
          <w:spacing w:val="-9"/>
          <w:w w:val="101"/>
          <w:position w:val="-10"/>
          <w:sz w:val="25"/>
        </w:rPr>
        <w:t>（</w:t>
      </w:r>
    </w:p>
    <w:p>
      <w:pPr>
        <w:spacing w:line="108" w:lineRule="auto" w:before="61"/>
        <w:ind w:left="107" w:right="0" w:firstLine="0"/>
        <w:jc w:val="left"/>
        <w:rPr>
          <w:rFonts w:ascii="Times New Roman" w:eastAsia="Times New Roman"/>
          <w:sz w:val="14"/>
        </w:rPr>
      </w:pPr>
      <w:r>
        <w:rPr/>
        <w:br w:type="column"/>
      </w:r>
      <w:r>
        <w:rPr>
          <w:rFonts w:ascii="Times New Roman" w:eastAsia="Times New Roman"/>
          <w:i/>
          <w:w w:val="101"/>
          <w:position w:val="5"/>
          <w:sz w:val="25"/>
        </w:rPr>
        <w:t>P</w:t>
      </w:r>
      <w:r>
        <w:rPr>
          <w:rFonts w:ascii="Times New Roman" w:eastAsia="Times New Roman"/>
          <w:i/>
          <w:position w:val="5"/>
          <w:sz w:val="25"/>
        </w:rPr>
        <w:t> </w:t>
      </w:r>
      <w:r>
        <w:rPr>
          <w:rFonts w:ascii="Times New Roman" w:eastAsia="Times New Roman"/>
          <w:i/>
          <w:spacing w:val="3"/>
          <w:position w:val="5"/>
          <w:sz w:val="25"/>
        </w:rPr>
        <w:t> </w:t>
      </w:r>
      <w:r>
        <w:rPr>
          <w:spacing w:val="-111"/>
          <w:w w:val="101"/>
          <w:position w:val="-10"/>
          <w:sz w:val="25"/>
        </w:rPr>
        <w:t>）</w:t>
      </w:r>
      <w:r>
        <w:rPr>
          <w:rFonts w:ascii="Times New Roman" w:eastAsia="Times New Roman"/>
          <w:spacing w:val="11"/>
          <w:w w:val="104"/>
          <w:sz w:val="14"/>
        </w:rPr>
        <w:t>0</w:t>
      </w:r>
      <w:r>
        <w:rPr>
          <w:rFonts w:ascii="Times New Roman" w:eastAsia="Times New Roman"/>
          <w:spacing w:val="5"/>
          <w:w w:val="104"/>
          <w:sz w:val="14"/>
        </w:rPr>
        <w:t>.</w:t>
      </w:r>
      <w:r>
        <w:rPr>
          <w:rFonts w:ascii="Times New Roman" w:eastAsia="Times New Roman"/>
          <w:spacing w:val="11"/>
          <w:w w:val="104"/>
          <w:sz w:val="14"/>
        </w:rPr>
        <w:t>7</w:t>
      </w:r>
      <w:r>
        <w:rPr>
          <w:rFonts w:ascii="Times New Roman" w:eastAsia="Times New Roman"/>
          <w:w w:val="104"/>
          <w:sz w:val="14"/>
        </w:rPr>
        <w:t>2</w:t>
      </w:r>
    </w:p>
    <w:p>
      <w:pPr>
        <w:spacing w:after="0" w:line="108" w:lineRule="auto"/>
        <w:jc w:val="left"/>
        <w:rPr>
          <w:rFonts w:ascii="Times New Roman" w:eastAsia="Times New Roman"/>
          <w:sz w:val="14"/>
        </w:rPr>
        <w:sectPr>
          <w:type w:val="continuous"/>
          <w:pgSz w:w="11910" w:h="16840"/>
          <w:pgMar w:top="1580" w:bottom="280" w:left="1020" w:right="880"/>
          <w:cols w:num="4" w:equalWidth="0">
            <w:col w:w="4276" w:space="40"/>
            <w:col w:w="1143" w:space="39"/>
            <w:col w:w="880" w:space="39"/>
            <w:col w:w="3593"/>
          </w:cols>
        </w:sectPr>
      </w:pPr>
    </w:p>
    <w:p>
      <w:pPr>
        <w:tabs>
          <w:tab w:pos="5200" w:val="left" w:leader="none"/>
          <w:tab w:pos="6431" w:val="left" w:leader="none"/>
        </w:tabs>
        <w:spacing w:line="279" w:lineRule="exact" w:before="0"/>
        <w:ind w:left="4471" w:right="0" w:firstLine="0"/>
        <w:jc w:val="left"/>
        <w:rPr>
          <w:rFonts w:ascii="Times New Roman"/>
          <w:sz w:val="25"/>
        </w:rPr>
      </w:pPr>
      <w:r>
        <w:rPr/>
        <w:pict>
          <v:line style="position:absolute;mso-position-horizontal-relative:page;mso-position-vertical-relative:paragraph;z-index:-256976896" from="271.889008pt,-1.82232pt" to="284.334008pt,-1.82232pt" stroked="true" strokeweight=".676pt" strokecolor="#000000">
            <v:stroke dashstyle="solid"/>
            <w10:wrap type="none"/>
          </v:line>
        </w:pict>
      </w:r>
      <w:r>
        <w:rPr/>
        <w:pict>
          <v:line style="position:absolute;mso-position-horizontal-relative:page;mso-position-vertical-relative:paragraph;z-index:-256975872" from="310.442993pt,-1.82232pt" to="329.624993pt,-1.82232pt" stroked="true" strokeweight=".676pt" strokecolor="#000000">
            <v:stroke dashstyle="solid"/>
            <w10:wrap type="none"/>
          </v:line>
        </w:pict>
      </w:r>
      <w:r>
        <w:rPr/>
        <w:pict>
          <v:line style="position:absolute;mso-position-horizontal-relative:page;mso-position-vertical-relative:paragraph;z-index:-256974848" from="372.023987pt,-1.82232pt" to="391.015987pt,-1.82232pt" stroked="true" strokeweight=".676pt" strokecolor="#000000">
            <v:stroke dashstyle="solid"/>
            <w10:wrap type="none"/>
          </v:line>
        </w:pict>
      </w:r>
      <w:r>
        <w:rPr/>
        <w:pict>
          <v:shape style="position:absolute;margin-left:58.66pt;margin-top:74.660011pt;width:483.65pt;height:704.95pt;mso-position-horizontal-relative:page;mso-position-vertical-relative:page;z-index:-256973824" coordorigin="1173,1493" coordsize="9673,14099" path="m1173,1252l10846,1252m1173,15346l10846,15346m1178,1247l1178,15341m10841,1247l10841,15341e" filled="false" stroked="true" strokeweight=".48pt" strokecolor="#000000">
            <v:path arrowok="t"/>
            <v:stroke dashstyle="solid"/>
            <w10:wrap type="none"/>
          </v:shape>
        </w:pict>
      </w:r>
      <w:r>
        <w:rPr>
          <w:rFonts w:ascii="Times New Roman"/>
          <w:sz w:val="25"/>
        </w:rPr>
        <w:t>5</w:t>
        <w:tab/>
      </w:r>
      <w:r>
        <w:rPr>
          <w:rFonts w:ascii="Times New Roman"/>
          <w:spacing w:val="9"/>
          <w:sz w:val="25"/>
        </w:rPr>
        <w:t>6.8</w:t>
        <w:tab/>
        <w:t>0.5</w:t>
      </w:r>
    </w:p>
    <w:p>
      <w:pPr>
        <w:spacing w:before="18"/>
        <w:ind w:left="3120" w:right="0" w:firstLine="0"/>
        <w:jc w:val="left"/>
        <w:rPr>
          <w:rFonts w:ascii="Times New Roman" w:hAnsi="Times New Roman"/>
          <w:i/>
          <w:sz w:val="25"/>
        </w:rPr>
      </w:pPr>
      <w:r>
        <w:rPr>
          <w:rFonts w:ascii="Times New Roman" w:hAnsi="Times New Roman"/>
          <w:i/>
          <w:sz w:val="25"/>
        </w:rPr>
        <w:t>Q </w:t>
      </w:r>
      <w:r>
        <w:rPr>
          <w:rFonts w:ascii="Times New Roman" w:hAnsi="Times New Roman"/>
          <w:position w:val="-6"/>
          <w:sz w:val="14"/>
        </w:rPr>
        <w:t>t </w:t>
      </w:r>
      <w:r>
        <w:rPr>
          <w:rFonts w:ascii="Times New Roman" w:hAnsi="Times New Roman"/>
          <w:sz w:val="25"/>
        </w:rPr>
        <w:t>= </w:t>
      </w:r>
      <w:r>
        <w:rPr>
          <w:rFonts w:ascii="Times New Roman" w:hAnsi="Times New Roman"/>
          <w:i/>
          <w:sz w:val="25"/>
        </w:rPr>
        <w:t>Q </w:t>
      </w:r>
      <w:r>
        <w:rPr>
          <w:rFonts w:ascii="Symbol" w:hAnsi="Symbol"/>
          <w:sz w:val="25"/>
        </w:rPr>
        <w:t></w:t>
      </w:r>
      <w:r>
        <w:rPr>
          <w:rFonts w:ascii="Times New Roman" w:hAnsi="Times New Roman"/>
          <w:sz w:val="25"/>
        </w:rPr>
        <w:t> </w:t>
      </w:r>
      <w:r>
        <w:rPr>
          <w:rFonts w:ascii="Times New Roman" w:hAnsi="Times New Roman"/>
          <w:i/>
          <w:sz w:val="25"/>
        </w:rPr>
        <w:t>L </w:t>
      </w:r>
      <w:r>
        <w:rPr>
          <w:rFonts w:ascii="Symbol" w:hAnsi="Symbol"/>
          <w:sz w:val="25"/>
        </w:rPr>
        <w:t></w:t>
      </w:r>
      <w:r>
        <w:rPr>
          <w:rFonts w:ascii="Times New Roman" w:hAnsi="Times New Roman"/>
          <w:sz w:val="25"/>
        </w:rPr>
        <w:t> </w:t>
      </w:r>
      <w:r>
        <w:rPr>
          <w:rFonts w:ascii="Times New Roman" w:hAnsi="Times New Roman"/>
          <w:i/>
          <w:sz w:val="25"/>
        </w:rPr>
        <w:t>T </w:t>
      </w:r>
      <w:r>
        <w:rPr>
          <w:rFonts w:ascii="Times New Roman" w:hAnsi="Times New Roman"/>
          <w:sz w:val="25"/>
        </w:rPr>
        <w:t>/ </w:t>
      </w:r>
      <w:r>
        <w:rPr>
          <w:rFonts w:ascii="Times New Roman" w:hAnsi="Times New Roman"/>
          <w:i/>
          <w:sz w:val="25"/>
        </w:rPr>
        <w:t>M</w:t>
      </w:r>
    </w:p>
    <w:p>
      <w:pPr>
        <w:pStyle w:val="BodyText"/>
        <w:spacing w:before="6"/>
        <w:rPr>
          <w:rFonts w:ascii="Times New Roman"/>
          <w:i/>
          <w:sz w:val="15"/>
        </w:rPr>
      </w:pPr>
    </w:p>
    <w:p>
      <w:pPr>
        <w:pStyle w:val="BodyText"/>
        <w:spacing w:before="74"/>
        <w:ind w:left="746"/>
      </w:pPr>
      <w:r>
        <w:rPr/>
        <w:t>式中：</w:t>
      </w:r>
      <w:r>
        <w:rPr>
          <w:rFonts w:ascii="Times New Roman" w:hAnsi="Times New Roman" w:eastAsia="Times New Roman"/>
          <w:spacing w:val="-1"/>
        </w:rPr>
        <w:t>Q</w:t>
      </w:r>
      <w:r>
        <w:rPr>
          <w:rFonts w:ascii="Times New Roman" w:hAnsi="Times New Roman" w:eastAsia="Times New Roman"/>
        </w:rPr>
        <w:t>——</w:t>
      </w:r>
      <w:r>
        <w:rPr/>
        <w:t>道路扬尘量（</w:t>
      </w:r>
      <w:r>
        <w:rPr>
          <w:rFonts w:ascii="Times New Roman" w:hAnsi="Times New Roman" w:eastAsia="Times New Roman"/>
        </w:rPr>
        <w:t>k</w:t>
      </w:r>
      <w:r>
        <w:rPr>
          <w:rFonts w:ascii="Times New Roman" w:hAnsi="Times New Roman" w:eastAsia="Times New Roman"/>
          <w:spacing w:val="-3"/>
        </w:rPr>
        <w:t>g</w:t>
      </w:r>
      <w:r>
        <w:rPr>
          <w:rFonts w:ascii="Times New Roman" w:hAnsi="Times New Roman" w:eastAsia="Times New Roman"/>
        </w:rPr>
        <w:t>/km</w:t>
      </w:r>
      <w:r>
        <w:rPr>
          <w:rFonts w:ascii="Times New Roman" w:hAnsi="Times New Roman" w:eastAsia="Times New Roman"/>
          <w:spacing w:val="1"/>
        </w:rPr>
        <w:t>·</w:t>
      </w:r>
      <w:r>
        <w:rPr/>
        <w:t>辆</w:t>
      </w:r>
      <w:r>
        <w:rPr>
          <w:spacing w:val="-120"/>
        </w:rPr>
        <w:t>）</w:t>
      </w:r>
      <w:r>
        <w:rPr/>
        <w:t>；</w:t>
      </w:r>
    </w:p>
    <w:p>
      <w:pPr>
        <w:pStyle w:val="BodyText"/>
        <w:spacing w:before="150"/>
        <w:ind w:left="1466"/>
      </w:pPr>
      <w:r>
        <w:rPr>
          <w:rFonts w:ascii="Times New Roman" w:hAnsi="Times New Roman" w:eastAsia="Times New Roman"/>
          <w:spacing w:val="-1"/>
          <w:position w:val="2"/>
        </w:rPr>
        <w:t>Q</w:t>
      </w:r>
      <w:r>
        <w:rPr>
          <w:rFonts w:ascii="Times New Roman" w:hAnsi="Times New Roman" w:eastAsia="Times New Roman"/>
          <w:spacing w:val="-1"/>
          <w:w w:val="103"/>
          <w:position w:val="2"/>
          <w:vertAlign w:val="subscript"/>
        </w:rPr>
        <w:t>t</w:t>
      </w:r>
      <w:r>
        <w:rPr>
          <w:rFonts w:ascii="Times New Roman" w:hAnsi="Times New Roman" w:eastAsia="Times New Roman"/>
          <w:position w:val="2"/>
          <w:vertAlign w:val="baseline"/>
        </w:rPr>
        <w:t>——</w:t>
      </w:r>
      <w:r>
        <w:rPr>
          <w:position w:val="2"/>
          <w:vertAlign w:val="baseline"/>
        </w:rPr>
        <w:t>总扬尘量（</w:t>
      </w:r>
      <w:r>
        <w:rPr>
          <w:rFonts w:ascii="Times New Roman" w:hAnsi="Times New Roman" w:eastAsia="Times New Roman"/>
          <w:position w:val="2"/>
          <w:vertAlign w:val="baseline"/>
        </w:rPr>
        <w:t>k</w:t>
      </w:r>
      <w:r>
        <w:rPr>
          <w:rFonts w:ascii="Times New Roman" w:hAnsi="Times New Roman" w:eastAsia="Times New Roman"/>
          <w:spacing w:val="-3"/>
          <w:position w:val="2"/>
          <w:vertAlign w:val="baseline"/>
        </w:rPr>
        <w:t>g</w:t>
      </w:r>
      <w:r>
        <w:rPr>
          <w:rFonts w:ascii="Times New Roman" w:hAnsi="Times New Roman" w:eastAsia="Times New Roman"/>
          <w:position w:val="2"/>
          <w:vertAlign w:val="baseline"/>
        </w:rPr>
        <w:t>/</w:t>
      </w:r>
      <w:r>
        <w:rPr>
          <w:rFonts w:ascii="Times New Roman" w:hAnsi="Times New Roman" w:eastAsia="Times New Roman"/>
          <w:spacing w:val="1"/>
          <w:position w:val="2"/>
          <w:vertAlign w:val="baseline"/>
        </w:rPr>
        <w:t>a</w:t>
      </w:r>
      <w:r>
        <w:rPr>
          <w:spacing w:val="-120"/>
          <w:position w:val="2"/>
          <w:vertAlign w:val="baseline"/>
        </w:rPr>
        <w:t>）</w:t>
      </w:r>
      <w:r>
        <w:rPr>
          <w:position w:val="2"/>
          <w:vertAlign w:val="baseline"/>
        </w:rPr>
        <w:t>；</w:t>
      </w:r>
    </w:p>
    <w:p>
      <w:pPr>
        <w:pStyle w:val="BodyText"/>
        <w:spacing w:line="360" w:lineRule="auto" w:before="150"/>
        <w:ind w:left="1466" w:right="3913" w:hanging="5"/>
      </w:pPr>
      <w:r>
        <w:rPr>
          <w:rFonts w:ascii="Times New Roman" w:hAnsi="Times New Roman" w:eastAsia="Times New Roman"/>
          <w:spacing w:val="-1"/>
        </w:rPr>
        <w:t>V</w:t>
      </w:r>
      <w:r>
        <w:rPr>
          <w:rFonts w:ascii="Times New Roman" w:hAnsi="Times New Roman" w:eastAsia="Times New Roman"/>
        </w:rPr>
        <w:t>——</w:t>
      </w:r>
      <w:r>
        <w:rPr/>
        <w:t>车辆速度（</w:t>
      </w:r>
      <w:r>
        <w:rPr>
          <w:rFonts w:ascii="Times New Roman" w:hAnsi="Times New Roman" w:eastAsia="Times New Roman"/>
        </w:rPr>
        <w:t>km/h</w:t>
      </w:r>
      <w:r>
        <w:rPr>
          <w:spacing w:val="-120"/>
        </w:rPr>
        <w:t>）</w:t>
      </w:r>
      <w:r>
        <w:rPr>
          <w:spacing w:val="-20"/>
        </w:rPr>
        <w:t>，取 </w:t>
      </w:r>
      <w:r>
        <w:rPr>
          <w:rFonts w:ascii="Times New Roman" w:hAnsi="Times New Roman" w:eastAsia="Times New Roman"/>
          <w:spacing w:val="-2"/>
        </w:rPr>
        <w:t>10km/</w:t>
      </w:r>
      <w:r>
        <w:rPr>
          <w:rFonts w:ascii="Times New Roman" w:hAnsi="Times New Roman" w:eastAsia="Times New Roman"/>
          <w:spacing w:val="-5"/>
        </w:rPr>
        <w:t>h</w:t>
      </w:r>
      <w:r>
        <w:rPr>
          <w:spacing w:val="-2"/>
        </w:rPr>
        <w:t>；</w:t>
      </w:r>
      <w:r>
        <w:rPr/>
        <w:t> </w:t>
      </w:r>
      <w:r>
        <w:rPr>
          <w:rFonts w:ascii="Times New Roman" w:hAnsi="Times New Roman" w:eastAsia="Times New Roman"/>
        </w:rPr>
        <w:t>M——</w:t>
      </w:r>
      <w:r>
        <w:rPr/>
        <w:t>车辆载重（</w:t>
      </w:r>
      <w:r>
        <w:rPr>
          <w:rFonts w:ascii="Times New Roman" w:hAnsi="Times New Roman" w:eastAsia="Times New Roman"/>
        </w:rPr>
        <w:t>t</w:t>
      </w:r>
      <w:r>
        <w:rPr>
          <w:rFonts w:ascii="Times New Roman" w:hAnsi="Times New Roman" w:eastAsia="Times New Roman"/>
          <w:spacing w:val="-2"/>
        </w:rPr>
        <w:t>/</w:t>
      </w:r>
      <w:r>
        <w:rPr/>
        <w:t>辆</w:t>
      </w:r>
      <w:r>
        <w:rPr>
          <w:spacing w:val="-120"/>
        </w:rPr>
        <w:t>）</w:t>
      </w:r>
      <w:r>
        <w:rPr/>
        <w:t>，</w:t>
      </w:r>
      <w:r>
        <w:rPr>
          <w:rFonts w:ascii="Times New Roman" w:hAnsi="Times New Roman" w:eastAsia="Times New Roman"/>
        </w:rPr>
        <w:t>20t/</w:t>
      </w:r>
      <w:r>
        <w:rPr/>
        <w:t>辆；</w:t>
      </w:r>
    </w:p>
    <w:p>
      <w:pPr>
        <w:pStyle w:val="BodyText"/>
        <w:spacing w:line="357" w:lineRule="auto"/>
        <w:ind w:left="1466" w:right="3081"/>
      </w:pPr>
      <w:r>
        <w:rPr>
          <w:rFonts w:ascii="Times New Roman" w:hAnsi="Times New Roman" w:eastAsia="Times New Roman"/>
          <w:spacing w:val="-2"/>
        </w:rPr>
        <w:t>P</w:t>
      </w:r>
      <w:r>
        <w:rPr>
          <w:rFonts w:ascii="Times New Roman" w:hAnsi="Times New Roman" w:eastAsia="Times New Roman"/>
        </w:rPr>
        <w:t>——</w:t>
      </w:r>
      <w:r>
        <w:rPr/>
        <w:t>道路灰尘覆盖量（</w:t>
      </w:r>
      <w:r>
        <w:rPr>
          <w:rFonts w:ascii="Times New Roman" w:hAnsi="Times New Roman" w:eastAsia="Times New Roman"/>
        </w:rPr>
        <w:t>k</w:t>
      </w:r>
      <w:r>
        <w:rPr>
          <w:rFonts w:ascii="Times New Roman" w:hAnsi="Times New Roman" w:eastAsia="Times New Roman"/>
          <w:spacing w:val="-3"/>
        </w:rPr>
        <w:t>g</w:t>
      </w:r>
      <w:r>
        <w:rPr>
          <w:rFonts w:ascii="Times New Roman" w:hAnsi="Times New Roman" w:eastAsia="Times New Roman"/>
        </w:rPr>
        <w:t>/</w:t>
      </w:r>
      <w:r>
        <w:rPr>
          <w:rFonts w:ascii="Times New Roman" w:hAnsi="Times New Roman" w:eastAsia="Times New Roman"/>
          <w:spacing w:val="2"/>
        </w:rPr>
        <w:t>m</w:t>
      </w:r>
      <w:r>
        <w:rPr>
          <w:rFonts w:ascii="Times New Roman" w:hAnsi="Times New Roman" w:eastAsia="Times New Roman"/>
          <w:spacing w:val="-2"/>
          <w:w w:val="104"/>
          <w:position w:val="8"/>
          <w:sz w:val="15"/>
        </w:rPr>
        <w:t>2</w:t>
      </w:r>
      <w:r>
        <w:rPr>
          <w:spacing w:val="-120"/>
        </w:rPr>
        <w:t>）</w:t>
      </w:r>
      <w:r>
        <w:rPr>
          <w:spacing w:val="-20"/>
        </w:rPr>
        <w:t>，取 </w:t>
      </w:r>
      <w:r>
        <w:rPr>
          <w:rFonts w:ascii="Times New Roman" w:hAnsi="Times New Roman" w:eastAsia="Times New Roman"/>
          <w:spacing w:val="-2"/>
        </w:rPr>
        <w:t>0.1k</w:t>
      </w:r>
      <w:r>
        <w:rPr>
          <w:rFonts w:ascii="Times New Roman" w:hAnsi="Times New Roman" w:eastAsia="Times New Roman"/>
          <w:spacing w:val="-5"/>
        </w:rPr>
        <w:t>g</w:t>
      </w:r>
      <w:r>
        <w:rPr>
          <w:rFonts w:ascii="Times New Roman" w:hAnsi="Times New Roman" w:eastAsia="Times New Roman"/>
          <w:spacing w:val="-2"/>
        </w:rPr>
        <w:t>/</w:t>
      </w:r>
      <w:r>
        <w:rPr>
          <w:rFonts w:ascii="Times New Roman" w:hAnsi="Times New Roman" w:eastAsia="Times New Roman"/>
          <w:spacing w:val="0"/>
        </w:rPr>
        <w:t>m</w:t>
      </w:r>
      <w:r>
        <w:rPr>
          <w:rFonts w:ascii="Times New Roman" w:hAnsi="Times New Roman" w:eastAsia="Times New Roman"/>
          <w:spacing w:val="-4"/>
          <w:w w:val="104"/>
          <w:position w:val="8"/>
          <w:sz w:val="15"/>
        </w:rPr>
        <w:t>2</w:t>
      </w:r>
      <w:r>
        <w:rPr>
          <w:spacing w:val="-2"/>
        </w:rPr>
        <w:t>；</w:t>
      </w:r>
      <w:r>
        <w:rPr/>
        <w:t> </w:t>
      </w:r>
      <w:r>
        <w:rPr>
          <w:rFonts w:ascii="Times New Roman" w:hAnsi="Times New Roman" w:eastAsia="Times New Roman"/>
          <w:spacing w:val="-1"/>
        </w:rPr>
        <w:t>L</w:t>
      </w:r>
      <w:r>
        <w:rPr>
          <w:rFonts w:ascii="Times New Roman" w:hAnsi="Times New Roman" w:eastAsia="Times New Roman"/>
        </w:rPr>
        <w:t>——</w:t>
      </w:r>
      <w:r>
        <w:rPr/>
        <w:t>运输距离（</w:t>
      </w:r>
      <w:r>
        <w:rPr>
          <w:rFonts w:ascii="Times New Roman" w:hAnsi="Times New Roman" w:eastAsia="Times New Roman"/>
        </w:rPr>
        <w:t>km</w:t>
      </w:r>
      <w:r>
        <w:rPr>
          <w:spacing w:val="-120"/>
        </w:rPr>
        <w:t>）</w:t>
      </w:r>
      <w:r>
        <w:rPr/>
        <w:t>，</w:t>
      </w:r>
      <w:r>
        <w:rPr>
          <w:rFonts w:ascii="Times New Roman" w:hAnsi="Times New Roman" w:eastAsia="Times New Roman"/>
        </w:rPr>
        <w:t>5</w:t>
      </w:r>
      <w:r>
        <w:rPr>
          <w:rFonts w:ascii="Times New Roman" w:hAnsi="Times New Roman" w:eastAsia="Times New Roman"/>
          <w:spacing w:val="-2"/>
        </w:rPr>
        <w:t>m</w:t>
      </w:r>
      <w:r>
        <w:rPr/>
        <w:t>；</w:t>
      </w:r>
    </w:p>
    <w:p>
      <w:pPr>
        <w:pStyle w:val="BodyText"/>
        <w:spacing w:before="2"/>
        <w:ind w:left="1461"/>
      </w:pPr>
      <w:r>
        <w:rPr>
          <w:rFonts w:ascii="Times New Roman" w:hAnsi="Times New Roman" w:eastAsia="Times New Roman"/>
          <w:spacing w:val="-1"/>
        </w:rPr>
        <w:t>T</w:t>
      </w:r>
      <w:r>
        <w:rPr>
          <w:rFonts w:ascii="Times New Roman" w:hAnsi="Times New Roman" w:eastAsia="Times New Roman"/>
        </w:rPr>
        <w:t>——</w:t>
      </w:r>
      <w:r>
        <w:rPr/>
        <w:t>运输量（</w:t>
      </w:r>
      <w:r>
        <w:rPr>
          <w:rFonts w:ascii="Times New Roman" w:hAnsi="Times New Roman" w:eastAsia="Times New Roman"/>
        </w:rPr>
        <w:t>t/</w:t>
      </w:r>
      <w:r>
        <w:rPr>
          <w:rFonts w:ascii="Times New Roman" w:hAnsi="Times New Roman" w:eastAsia="Times New Roman"/>
          <w:spacing w:val="-1"/>
        </w:rPr>
        <w:t>a</w:t>
      </w:r>
      <w:r>
        <w:rPr>
          <w:spacing w:val="-120"/>
        </w:rPr>
        <w:t>）</w:t>
      </w:r>
      <w:r>
        <w:rPr/>
        <w:t>，</w:t>
      </w:r>
      <w:r>
        <w:rPr>
          <w:rFonts w:ascii="Times New Roman" w:hAnsi="Times New Roman" w:eastAsia="Times New Roman"/>
        </w:rPr>
        <w:t>3.67 </w:t>
      </w:r>
      <w:r>
        <w:rPr>
          <w:spacing w:val="-30"/>
        </w:rPr>
        <w:t>万 </w:t>
      </w:r>
      <w:r>
        <w:rPr>
          <w:rFonts w:ascii="Times New Roman" w:hAnsi="Times New Roman" w:eastAsia="Times New Roman"/>
          <w:spacing w:val="-2"/>
        </w:rPr>
        <w:t>t</w:t>
      </w:r>
      <w:r>
        <w:rPr/>
        <w:t>。</w:t>
      </w:r>
    </w:p>
    <w:p>
      <w:pPr>
        <w:pStyle w:val="BodyText"/>
        <w:spacing w:line="357" w:lineRule="auto" w:before="153"/>
        <w:ind w:left="266" w:right="285" w:firstLine="480"/>
        <w:jc w:val="both"/>
      </w:pPr>
      <w:r>
        <w:rPr>
          <w:spacing w:val="-13"/>
        </w:rPr>
        <w:t>项目按 </w:t>
      </w:r>
      <w:r>
        <w:rPr>
          <w:rFonts w:ascii="Times New Roman" w:hAnsi="Times New Roman" w:eastAsia="Times New Roman"/>
        </w:rPr>
        <w:t>1.4 </w:t>
      </w:r>
      <w:r>
        <w:rPr>
          <w:spacing w:val="-26"/>
        </w:rPr>
        <w:t>万 </w:t>
      </w:r>
      <w:r>
        <w:rPr>
          <w:rFonts w:ascii="Times New Roman" w:hAnsi="Times New Roman" w:eastAsia="Times New Roman"/>
        </w:rPr>
        <w:t>m³/a</w:t>
      </w:r>
      <w:r>
        <w:rPr/>
        <w:t>（</w:t>
      </w:r>
      <w:r>
        <w:rPr>
          <w:rFonts w:ascii="Times New Roman" w:hAnsi="Times New Roman" w:eastAsia="Times New Roman"/>
        </w:rPr>
        <w:t>3.67 </w:t>
      </w:r>
      <w:r>
        <w:rPr>
          <w:spacing w:val="-27"/>
        </w:rPr>
        <w:t>万 </w:t>
      </w:r>
      <w:r>
        <w:rPr>
          <w:rFonts w:ascii="Times New Roman" w:hAnsi="Times New Roman" w:eastAsia="Times New Roman"/>
        </w:rPr>
        <w:t>t/a</w:t>
      </w:r>
      <w:r>
        <w:rPr/>
        <w:t>）</w:t>
      </w:r>
      <w:r>
        <w:rPr>
          <w:spacing w:val="-4"/>
        </w:rPr>
        <w:t>的生产能力，则日产页岩矿约 </w:t>
      </w:r>
      <w:r>
        <w:rPr>
          <w:rFonts w:ascii="Times New Roman" w:hAnsi="Times New Roman" w:eastAsia="Times New Roman"/>
        </w:rPr>
        <w:t>175t</w:t>
      </w:r>
      <w:r>
        <w:rPr>
          <w:spacing w:val="-9"/>
        </w:rPr>
        <w:t>，用载重量 </w:t>
      </w:r>
      <w:r>
        <w:rPr>
          <w:rFonts w:ascii="Times New Roman" w:hAnsi="Times New Roman" w:eastAsia="Times New Roman"/>
        </w:rPr>
        <w:t>20 </w:t>
      </w:r>
      <w:r>
        <w:rPr>
          <w:spacing w:val="4"/>
        </w:rPr>
        <w:t>吨</w:t>
      </w:r>
      <w:r>
        <w:rPr>
          <w:rFonts w:ascii="Times New Roman" w:hAnsi="Times New Roman" w:eastAsia="Times New Roman"/>
        </w:rPr>
        <w:t>/ </w:t>
      </w:r>
      <w:r>
        <w:rPr>
          <w:spacing w:val="-4"/>
        </w:rPr>
        <w:t>车计，平均每天空、重载车各 </w:t>
      </w:r>
      <w:r>
        <w:rPr>
          <w:rFonts w:ascii="Times New Roman" w:hAnsi="Times New Roman" w:eastAsia="Times New Roman"/>
        </w:rPr>
        <w:t>9 </w:t>
      </w:r>
      <w:r>
        <w:rPr/>
        <w:t>辆</w:t>
      </w:r>
      <w:r>
        <w:rPr>
          <w:rFonts w:ascii="Times New Roman" w:hAnsi="Times New Roman" w:eastAsia="Times New Roman"/>
        </w:rPr>
        <w:t>/</w:t>
      </w:r>
      <w:r>
        <w:rPr/>
        <w:t>次。经计算，项目车辆在道路完全干燥的情况行驶时的</w:t>
      </w:r>
      <w:r>
        <w:rPr>
          <w:spacing w:val="-2"/>
        </w:rPr>
        <w:t>动力起尘量为 </w:t>
      </w:r>
      <w:r>
        <w:rPr>
          <w:rFonts w:ascii="Times New Roman" w:hAnsi="Times New Roman" w:eastAsia="Times New Roman"/>
        </w:rPr>
        <w:t>0.0009t/a</w:t>
      </w:r>
      <w:r>
        <w:rPr/>
        <w:t>。为防止道路运输积尘引起二次扬尘，矿区运输道路采取压实、道</w:t>
      </w:r>
      <w:r>
        <w:rPr>
          <w:spacing w:val="-1"/>
        </w:rPr>
        <w:t>路洒水、车辆限速等抑尘措施。除尘效率按照 </w:t>
      </w:r>
      <w:r>
        <w:rPr>
          <w:rFonts w:ascii="Times New Roman" w:hAnsi="Times New Roman" w:eastAsia="Times New Roman"/>
        </w:rPr>
        <w:t>75%</w:t>
      </w:r>
      <w:r>
        <w:rPr/>
        <w:t>计算，预计汽车运输的无组织粉尘排放</w:t>
      </w:r>
      <w:r>
        <w:rPr>
          <w:spacing w:val="-21"/>
        </w:rPr>
        <w:t>量为 </w:t>
      </w:r>
      <w:r>
        <w:rPr>
          <w:rFonts w:ascii="Times New Roman" w:hAnsi="Times New Roman" w:eastAsia="Times New Roman"/>
        </w:rPr>
        <w:t>0.0002t/a</w:t>
      </w:r>
      <w:r>
        <w:rPr/>
        <w:t>。</w:t>
      </w:r>
    </w:p>
    <w:p>
      <w:pPr>
        <w:pStyle w:val="BodyText"/>
        <w:spacing w:line="268" w:lineRule="exact"/>
        <w:ind w:left="746"/>
      </w:pPr>
      <w:r>
        <w:rPr>
          <w:rFonts w:ascii="Times New Roman" w:eastAsia="Times New Roman"/>
        </w:rPr>
        <w:t>4</w:t>
      </w:r>
      <w:r>
        <w:rPr/>
        <w:t>、表土堆场扬尘</w:t>
      </w:r>
    </w:p>
    <w:p>
      <w:pPr>
        <w:pStyle w:val="BodyText"/>
        <w:spacing w:line="357" w:lineRule="auto" w:before="208"/>
        <w:ind w:left="266" w:right="378" w:firstLine="480"/>
        <w:jc w:val="both"/>
      </w:pPr>
      <w:r>
        <w:rPr/>
        <w:t>矿山表层剥离运至表土场临时堆放。在大风干燥的天气里，易产生风起扬尘，呈无组织形式排放，会对周边大气环境造成影响。建设单位应采取覆盖、张挂防风抑尘网、洒水等抑尘措施，无组织粉尘排放量。</w:t>
      </w:r>
    </w:p>
    <w:p>
      <w:pPr>
        <w:pStyle w:val="BodyText"/>
        <w:spacing w:before="6"/>
        <w:ind w:left="746"/>
      </w:pPr>
      <w:r>
        <w:rPr>
          <w:rFonts w:ascii="Times New Roman" w:eastAsia="Times New Roman"/>
        </w:rPr>
        <w:t>5</w:t>
      </w:r>
      <w:r>
        <w:rPr/>
        <w:t>、机械尾气</w:t>
      </w:r>
    </w:p>
    <w:p>
      <w:pPr>
        <w:pStyle w:val="BodyText"/>
        <w:spacing w:line="355" w:lineRule="auto" w:before="153"/>
        <w:ind w:left="266" w:right="292" w:firstLine="480"/>
      </w:pPr>
      <w:r>
        <w:rPr/>
        <w:t>机械包括挖掘机、装载车辆，均以柴油作为燃料，工作时会产生燃油烟气，主要污染</w:t>
      </w:r>
      <w:r>
        <w:rPr>
          <w:position w:val="2"/>
        </w:rPr>
        <w:t>因子是 </w:t>
      </w:r>
      <w:r>
        <w:rPr>
          <w:rFonts w:ascii="Times New Roman" w:eastAsia="Times New Roman"/>
          <w:position w:val="2"/>
        </w:rPr>
        <w:t>NO</w:t>
      </w:r>
      <w:r>
        <w:rPr>
          <w:rFonts w:ascii="Times New Roman" w:eastAsia="Times New Roman"/>
          <w:position w:val="2"/>
          <w:vertAlign w:val="subscript"/>
        </w:rPr>
        <w:t>X</w:t>
      </w:r>
      <w:r>
        <w:rPr>
          <w:position w:val="2"/>
          <w:vertAlign w:val="baseline"/>
        </w:rPr>
        <w:t>、</w:t>
      </w:r>
      <w:r>
        <w:rPr>
          <w:rFonts w:ascii="Times New Roman" w:eastAsia="Times New Roman"/>
          <w:position w:val="2"/>
          <w:vertAlign w:val="baseline"/>
        </w:rPr>
        <w:t>THC</w:t>
      </w:r>
      <w:r>
        <w:rPr>
          <w:position w:val="2"/>
          <w:vertAlign w:val="baseline"/>
        </w:rPr>
        <w:t>、</w:t>
      </w:r>
      <w:r>
        <w:rPr>
          <w:rFonts w:ascii="Times New Roman" w:eastAsia="Times New Roman"/>
          <w:position w:val="2"/>
          <w:vertAlign w:val="baseline"/>
        </w:rPr>
        <w:t>CO </w:t>
      </w:r>
      <w:r>
        <w:rPr>
          <w:position w:val="2"/>
          <w:vertAlign w:val="baseline"/>
        </w:rPr>
        <w:t>和颗粒物等。</w:t>
      </w:r>
    </w:p>
    <w:p>
      <w:pPr>
        <w:pStyle w:val="Heading2"/>
        <w:numPr>
          <w:ilvl w:val="2"/>
          <w:numId w:val="10"/>
        </w:numPr>
        <w:tabs>
          <w:tab w:pos="1287" w:val="left" w:leader="none"/>
        </w:tabs>
        <w:spacing w:line="295" w:lineRule="exact" w:before="0" w:after="0"/>
        <w:ind w:left="1286" w:right="0" w:hanging="541"/>
        <w:jc w:val="left"/>
      </w:pPr>
      <w:r>
        <w:rPr/>
        <w:t>废水污染源强分析</w:t>
      </w:r>
    </w:p>
    <w:p>
      <w:pPr>
        <w:pStyle w:val="BodyText"/>
        <w:spacing w:line="343" w:lineRule="auto" w:before="134"/>
        <w:ind w:left="266" w:right="118" w:firstLine="480"/>
      </w:pPr>
      <w:r>
        <w:rPr/>
        <w:t>本项目生产过程中，矿山开采采用喷淋水湿法作业，用水大部分直接挥发或吸收消耗， 几乎无废水产生。项目废水主要是少量生活污水。</w:t>
      </w:r>
    </w:p>
    <w:p>
      <w:pPr>
        <w:spacing w:after="0" w:line="343" w:lineRule="auto"/>
        <w:sectPr>
          <w:type w:val="continuous"/>
          <w:pgSz w:w="11910" w:h="16840"/>
          <w:pgMar w:top="1580" w:bottom="280" w:left="1020" w:right="880"/>
        </w:sectPr>
      </w:pPr>
    </w:p>
    <w:p>
      <w:pPr>
        <w:pStyle w:val="BodyText"/>
        <w:spacing w:line="336" w:lineRule="auto" w:before="123"/>
        <w:ind w:left="266" w:right="172" w:firstLine="480"/>
        <w:jc w:val="both"/>
      </w:pPr>
      <w:r>
        <w:rPr/>
        <w:pict>
          <v:shape style="position:absolute;margin-left:58.66pt;margin-top:64.060013pt;width:483.65pt;height:715.55pt;mso-position-horizontal-relative:page;mso-position-vertical-relative:page;z-index:-256972800" coordorigin="1173,1281" coordsize="9673,14311" path="m1173,1252l10846,1252m1173,15558l10846,15558m1178,1247l1178,15553m10841,1247l10841,15553e" filled="false" stroked="true" strokeweight=".48pt" strokecolor="#000000">
            <v:path arrowok="t"/>
            <v:stroke dashstyle="solid"/>
            <w10:wrap type="none"/>
          </v:shape>
        </w:pict>
      </w:r>
      <w:r>
        <w:rPr>
          <w:spacing w:val="-9"/>
        </w:rPr>
        <w:t>项目劳动定员 </w:t>
      </w:r>
      <w:r>
        <w:rPr>
          <w:rFonts w:ascii="Times New Roman" w:hAnsi="Times New Roman" w:eastAsia="Times New Roman"/>
        </w:rPr>
        <w:t>2 </w:t>
      </w:r>
      <w:r>
        <w:rPr>
          <w:spacing w:val="-5"/>
        </w:rPr>
        <w:t>人，根据项目实际，生活用水量按 </w:t>
      </w:r>
      <w:r>
        <w:rPr>
          <w:rFonts w:ascii="Times New Roman" w:hAnsi="Times New Roman" w:eastAsia="Times New Roman"/>
        </w:rPr>
        <w:t>60L/</w:t>
      </w:r>
      <w:r>
        <w:rPr/>
        <w:t>人</w:t>
      </w:r>
      <w:r>
        <w:rPr>
          <w:rFonts w:ascii="Times New Roman" w:hAnsi="Times New Roman" w:eastAsia="Times New Roman"/>
        </w:rPr>
        <w:t>·d </w:t>
      </w:r>
      <w:r>
        <w:rPr>
          <w:spacing w:val="-8"/>
        </w:rPr>
        <w:t>计算，全年工作 </w:t>
      </w:r>
      <w:r>
        <w:rPr>
          <w:rFonts w:ascii="Times New Roman" w:hAnsi="Times New Roman" w:eastAsia="Times New Roman"/>
        </w:rPr>
        <w:t>210 </w:t>
      </w:r>
      <w:r>
        <w:rPr/>
        <w:t>天， </w:t>
      </w:r>
      <w:r>
        <w:rPr>
          <w:spacing w:val="-8"/>
        </w:rPr>
        <w:t>排水量占用水量 </w:t>
      </w:r>
      <w:r>
        <w:rPr>
          <w:rFonts w:ascii="Times New Roman" w:hAnsi="Times New Roman" w:eastAsia="Times New Roman"/>
        </w:rPr>
        <w:t>80</w:t>
      </w:r>
      <w:r>
        <w:rPr>
          <w:rFonts w:ascii="Times New Roman" w:hAnsi="Times New Roman" w:eastAsia="Times New Roman"/>
          <w:spacing w:val="1"/>
        </w:rPr>
        <w:t>%</w:t>
      </w:r>
      <w:r>
        <w:rPr>
          <w:spacing w:val="-8"/>
        </w:rPr>
        <w:t>，生活污水产生量为 </w:t>
      </w:r>
      <w:r>
        <w:rPr>
          <w:rFonts w:ascii="Times New Roman" w:hAnsi="Times New Roman" w:eastAsia="Times New Roman"/>
        </w:rPr>
        <w:t>20.16t/</w:t>
      </w:r>
      <w:r>
        <w:rPr>
          <w:rFonts w:ascii="Times New Roman" w:hAnsi="Times New Roman" w:eastAsia="Times New Roman"/>
          <w:spacing w:val="-4"/>
        </w:rPr>
        <w:t>a</w:t>
      </w:r>
      <w:r>
        <w:rPr/>
        <w:t>（</w:t>
      </w:r>
      <w:r>
        <w:rPr>
          <w:rFonts w:ascii="Times New Roman" w:hAnsi="Times New Roman" w:eastAsia="Times New Roman"/>
        </w:rPr>
        <w:t>0.096t/d</w:t>
      </w:r>
      <w:r>
        <w:rPr>
          <w:spacing w:val="-120"/>
        </w:rPr>
        <w:t>）</w:t>
      </w:r>
      <w:r>
        <w:rPr>
          <w:spacing w:val="-2"/>
        </w:rPr>
        <w:t>，本项目生活污水的通过砖厂</w:t>
      </w:r>
      <w:r>
        <w:rPr>
          <w:spacing w:val="-15"/>
        </w:rPr>
        <w:t>设置的化粪池进行收集，清掏用于周边农田施肥。主要污染物及其浓度产生情况详见表 </w:t>
      </w:r>
      <w:r>
        <w:rPr>
          <w:rFonts w:ascii="Times New Roman" w:hAnsi="Times New Roman" w:eastAsia="Times New Roman"/>
        </w:rPr>
        <w:t>5.1</w:t>
      </w:r>
      <w:r>
        <w:rPr>
          <w:spacing w:val="-17"/>
        </w:rPr>
        <w:t>。</w:t>
      </w:r>
    </w:p>
    <w:p>
      <w:pPr>
        <w:pStyle w:val="Heading2"/>
        <w:spacing w:before="6" w:after="20"/>
        <w:ind w:left="2889"/>
        <w:jc w:val="both"/>
      </w:pPr>
      <w:r>
        <w:rPr/>
        <w:t>表 </w:t>
      </w:r>
      <w:r>
        <w:rPr>
          <w:rFonts w:ascii="Times New Roman" w:eastAsia="Times New Roman"/>
        </w:rPr>
        <w:t>5.1  </w:t>
      </w:r>
      <w:r>
        <w:rPr/>
        <w:t>生活污水污染物产生情况一览表</w:t>
      </w:r>
    </w:p>
    <w:tbl>
      <w:tblPr>
        <w:tblW w:w="0" w:type="auto"/>
        <w:jc w:val="left"/>
        <w:tblInd w:w="1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71"/>
        <w:gridCol w:w="1505"/>
        <w:gridCol w:w="1225"/>
        <w:gridCol w:w="1073"/>
        <w:gridCol w:w="1073"/>
        <w:gridCol w:w="1073"/>
      </w:tblGrid>
      <w:tr>
        <w:trPr>
          <w:trHeight w:val="418" w:hRule="atLeast"/>
        </w:trPr>
        <w:tc>
          <w:tcPr>
            <w:tcW w:w="1871" w:type="dxa"/>
            <w:tcBorders>
              <w:left w:val="nil"/>
              <w:right w:val="single" w:sz="4" w:space="0" w:color="000000"/>
            </w:tcBorders>
          </w:tcPr>
          <w:p>
            <w:pPr>
              <w:pStyle w:val="TableParagraph"/>
              <w:tabs>
                <w:tab w:pos="452" w:val="left" w:leader="none"/>
              </w:tabs>
              <w:spacing w:line="256" w:lineRule="exact" w:before="141"/>
              <w:ind w:left="32"/>
              <w:jc w:val="center"/>
              <w:rPr>
                <w:b/>
                <w:sz w:val="21"/>
              </w:rPr>
            </w:pPr>
            <w:r>
              <w:rPr>
                <w:b/>
                <w:sz w:val="21"/>
              </w:rPr>
              <w:t>项</w:t>
              <w:tab/>
              <w:t>目</w:t>
            </w:r>
          </w:p>
        </w:tc>
        <w:tc>
          <w:tcPr>
            <w:tcW w:w="1505" w:type="dxa"/>
            <w:tcBorders>
              <w:left w:val="single" w:sz="4" w:space="0" w:color="000000"/>
              <w:right w:val="single" w:sz="4" w:space="0" w:color="000000"/>
            </w:tcBorders>
          </w:tcPr>
          <w:p>
            <w:pPr>
              <w:pStyle w:val="TableParagraph"/>
              <w:spacing w:line="256" w:lineRule="exact" w:before="141"/>
              <w:ind w:left="319" w:right="292"/>
              <w:jc w:val="center"/>
              <w:rPr>
                <w:b/>
                <w:sz w:val="21"/>
              </w:rPr>
            </w:pPr>
            <w:r>
              <w:rPr>
                <w:b/>
                <w:sz w:val="21"/>
              </w:rPr>
              <w:t>生活污水</w:t>
            </w:r>
          </w:p>
        </w:tc>
        <w:tc>
          <w:tcPr>
            <w:tcW w:w="1225" w:type="dxa"/>
            <w:tcBorders>
              <w:left w:val="single" w:sz="4" w:space="0" w:color="000000"/>
              <w:right w:val="single" w:sz="4" w:space="0" w:color="000000"/>
            </w:tcBorders>
          </w:tcPr>
          <w:p>
            <w:pPr>
              <w:pStyle w:val="TableParagraph"/>
              <w:spacing w:before="155"/>
              <w:ind w:left="366" w:right="335"/>
              <w:jc w:val="center"/>
              <w:rPr>
                <w:rFonts w:ascii="Times New Roman"/>
                <w:b/>
                <w:sz w:val="21"/>
              </w:rPr>
            </w:pPr>
            <w:r>
              <w:rPr>
                <w:rFonts w:ascii="Times New Roman"/>
                <w:b/>
                <w:sz w:val="21"/>
              </w:rPr>
              <w:t>COD</w:t>
            </w:r>
          </w:p>
        </w:tc>
        <w:tc>
          <w:tcPr>
            <w:tcW w:w="1073" w:type="dxa"/>
            <w:tcBorders>
              <w:left w:val="single" w:sz="4" w:space="0" w:color="000000"/>
              <w:right w:val="single" w:sz="4" w:space="0" w:color="000000"/>
            </w:tcBorders>
          </w:tcPr>
          <w:p>
            <w:pPr>
              <w:pStyle w:val="TableParagraph"/>
              <w:spacing w:line="245" w:lineRule="exact" w:before="152"/>
              <w:ind w:left="264" w:right="235"/>
              <w:jc w:val="center"/>
              <w:rPr>
                <w:rFonts w:ascii="Times New Roman"/>
                <w:b/>
                <w:sz w:val="21"/>
              </w:rPr>
            </w:pPr>
            <w:r>
              <w:rPr>
                <w:rFonts w:ascii="Times New Roman"/>
                <w:b/>
                <w:position w:val="2"/>
                <w:sz w:val="21"/>
              </w:rPr>
              <w:t>BOD</w:t>
            </w:r>
            <w:r>
              <w:rPr>
                <w:rFonts w:ascii="Times New Roman"/>
                <w:b/>
                <w:position w:val="2"/>
                <w:sz w:val="21"/>
                <w:vertAlign w:val="subscript"/>
              </w:rPr>
              <w:t>5</w:t>
            </w:r>
          </w:p>
        </w:tc>
        <w:tc>
          <w:tcPr>
            <w:tcW w:w="1073" w:type="dxa"/>
            <w:tcBorders>
              <w:left w:val="single" w:sz="4" w:space="0" w:color="000000"/>
              <w:right w:val="single" w:sz="4" w:space="0" w:color="000000"/>
            </w:tcBorders>
          </w:tcPr>
          <w:p>
            <w:pPr>
              <w:pStyle w:val="TableParagraph"/>
              <w:spacing w:before="155"/>
              <w:ind w:left="263" w:right="235"/>
              <w:jc w:val="center"/>
              <w:rPr>
                <w:rFonts w:ascii="Times New Roman"/>
                <w:b/>
                <w:sz w:val="21"/>
              </w:rPr>
            </w:pPr>
            <w:r>
              <w:rPr>
                <w:rFonts w:ascii="Times New Roman"/>
                <w:b/>
                <w:sz w:val="21"/>
              </w:rPr>
              <w:t>SS</w:t>
            </w:r>
          </w:p>
        </w:tc>
        <w:tc>
          <w:tcPr>
            <w:tcW w:w="1073" w:type="dxa"/>
            <w:tcBorders>
              <w:left w:val="single" w:sz="4" w:space="0" w:color="000000"/>
              <w:right w:val="nil"/>
            </w:tcBorders>
          </w:tcPr>
          <w:p>
            <w:pPr>
              <w:pStyle w:val="TableParagraph"/>
              <w:spacing w:line="245" w:lineRule="exact" w:before="152"/>
              <w:ind w:left="223" w:right="199"/>
              <w:jc w:val="center"/>
              <w:rPr>
                <w:rFonts w:ascii="Times New Roman"/>
                <w:b/>
                <w:sz w:val="21"/>
              </w:rPr>
            </w:pPr>
            <w:r>
              <w:rPr>
                <w:rFonts w:ascii="Times New Roman"/>
                <w:b/>
                <w:position w:val="2"/>
                <w:sz w:val="21"/>
              </w:rPr>
              <w:t>NH</w:t>
            </w:r>
            <w:r>
              <w:rPr>
                <w:rFonts w:ascii="Times New Roman"/>
                <w:b/>
                <w:position w:val="2"/>
                <w:sz w:val="21"/>
                <w:vertAlign w:val="subscript"/>
              </w:rPr>
              <w:t>3</w:t>
            </w:r>
            <w:r>
              <w:rPr>
                <w:rFonts w:ascii="Times New Roman"/>
                <w:b/>
                <w:position w:val="2"/>
                <w:sz w:val="21"/>
                <w:vertAlign w:val="baseline"/>
              </w:rPr>
              <w:t>-N</w:t>
            </w:r>
          </w:p>
        </w:tc>
      </w:tr>
      <w:tr>
        <w:trPr>
          <w:trHeight w:val="412" w:hRule="atLeast"/>
        </w:trPr>
        <w:tc>
          <w:tcPr>
            <w:tcW w:w="1871" w:type="dxa"/>
            <w:tcBorders>
              <w:left w:val="nil"/>
              <w:bottom w:val="single" w:sz="4" w:space="0" w:color="000000"/>
              <w:right w:val="single" w:sz="4" w:space="0" w:color="000000"/>
            </w:tcBorders>
          </w:tcPr>
          <w:p>
            <w:pPr>
              <w:pStyle w:val="TableParagraph"/>
              <w:spacing w:line="250" w:lineRule="exact" w:before="142"/>
              <w:ind w:left="34"/>
              <w:jc w:val="center"/>
              <w:rPr>
                <w:rFonts w:ascii="Times New Roman" w:eastAsia="Times New Roman"/>
                <w:sz w:val="21"/>
              </w:rPr>
            </w:pPr>
            <w:r>
              <w:rPr>
                <w:sz w:val="21"/>
              </w:rPr>
              <w:t>产生浓度</w:t>
            </w:r>
            <w:r>
              <w:rPr>
                <w:rFonts w:ascii="Times New Roman" w:eastAsia="Times New Roman"/>
                <w:sz w:val="21"/>
              </w:rPr>
              <w:t>(mg/L)</w:t>
            </w:r>
          </w:p>
        </w:tc>
        <w:tc>
          <w:tcPr>
            <w:tcW w:w="1505" w:type="dxa"/>
            <w:tcBorders>
              <w:left w:val="single" w:sz="4" w:space="0" w:color="000000"/>
              <w:bottom w:val="single" w:sz="4" w:space="0" w:color="000000"/>
              <w:right w:val="single" w:sz="4" w:space="0" w:color="000000"/>
            </w:tcBorders>
          </w:tcPr>
          <w:p>
            <w:pPr>
              <w:pStyle w:val="TableParagraph"/>
              <w:spacing w:line="236" w:lineRule="exact" w:before="156"/>
              <w:ind w:left="28"/>
              <w:jc w:val="center"/>
              <w:rPr>
                <w:rFonts w:ascii="Times New Roman" w:hAnsi="Times New Roman"/>
                <w:sz w:val="21"/>
              </w:rPr>
            </w:pPr>
            <w:r>
              <w:rPr>
                <w:rFonts w:ascii="Times New Roman" w:hAnsi="Times New Roman"/>
                <w:w w:val="99"/>
                <w:sz w:val="21"/>
              </w:rPr>
              <w:t>—</w:t>
            </w:r>
          </w:p>
        </w:tc>
        <w:tc>
          <w:tcPr>
            <w:tcW w:w="1225" w:type="dxa"/>
            <w:tcBorders>
              <w:left w:val="single" w:sz="4" w:space="0" w:color="000000"/>
              <w:bottom w:val="single" w:sz="4" w:space="0" w:color="000000"/>
              <w:right w:val="single" w:sz="4" w:space="0" w:color="000000"/>
            </w:tcBorders>
          </w:tcPr>
          <w:p>
            <w:pPr>
              <w:pStyle w:val="TableParagraph"/>
              <w:spacing w:line="236" w:lineRule="exact" w:before="156"/>
              <w:ind w:left="366" w:right="336"/>
              <w:jc w:val="center"/>
              <w:rPr>
                <w:rFonts w:ascii="Times New Roman"/>
                <w:sz w:val="21"/>
              </w:rPr>
            </w:pPr>
            <w:r>
              <w:rPr>
                <w:rFonts w:ascii="Times New Roman"/>
                <w:sz w:val="21"/>
              </w:rPr>
              <w:t>300</w:t>
            </w:r>
          </w:p>
        </w:tc>
        <w:tc>
          <w:tcPr>
            <w:tcW w:w="1073" w:type="dxa"/>
            <w:tcBorders>
              <w:left w:val="single" w:sz="4" w:space="0" w:color="000000"/>
              <w:bottom w:val="single" w:sz="4" w:space="0" w:color="000000"/>
              <w:right w:val="single" w:sz="4" w:space="0" w:color="000000"/>
            </w:tcBorders>
          </w:tcPr>
          <w:p>
            <w:pPr>
              <w:pStyle w:val="TableParagraph"/>
              <w:spacing w:line="236" w:lineRule="exact" w:before="156"/>
              <w:ind w:left="264" w:right="233"/>
              <w:jc w:val="center"/>
              <w:rPr>
                <w:rFonts w:ascii="Times New Roman"/>
                <w:sz w:val="21"/>
              </w:rPr>
            </w:pPr>
            <w:r>
              <w:rPr>
                <w:rFonts w:ascii="Times New Roman"/>
                <w:sz w:val="21"/>
              </w:rPr>
              <w:t>150</w:t>
            </w:r>
          </w:p>
        </w:tc>
        <w:tc>
          <w:tcPr>
            <w:tcW w:w="1073" w:type="dxa"/>
            <w:tcBorders>
              <w:left w:val="single" w:sz="4" w:space="0" w:color="000000"/>
              <w:bottom w:val="single" w:sz="4" w:space="0" w:color="000000"/>
              <w:right w:val="single" w:sz="4" w:space="0" w:color="000000"/>
            </w:tcBorders>
          </w:tcPr>
          <w:p>
            <w:pPr>
              <w:pStyle w:val="TableParagraph"/>
              <w:spacing w:line="236" w:lineRule="exact" w:before="156"/>
              <w:ind w:left="264" w:right="233"/>
              <w:jc w:val="center"/>
              <w:rPr>
                <w:rFonts w:ascii="Times New Roman"/>
                <w:sz w:val="21"/>
              </w:rPr>
            </w:pPr>
            <w:r>
              <w:rPr>
                <w:rFonts w:ascii="Times New Roman"/>
                <w:sz w:val="21"/>
              </w:rPr>
              <w:t>250</w:t>
            </w:r>
          </w:p>
        </w:tc>
        <w:tc>
          <w:tcPr>
            <w:tcW w:w="1073" w:type="dxa"/>
            <w:tcBorders>
              <w:left w:val="single" w:sz="4" w:space="0" w:color="000000"/>
              <w:bottom w:val="single" w:sz="4" w:space="0" w:color="000000"/>
              <w:right w:val="nil"/>
            </w:tcBorders>
          </w:tcPr>
          <w:p>
            <w:pPr>
              <w:pStyle w:val="TableParagraph"/>
              <w:spacing w:line="236" w:lineRule="exact" w:before="156"/>
              <w:ind w:left="223" w:right="198"/>
              <w:jc w:val="center"/>
              <w:rPr>
                <w:rFonts w:ascii="Times New Roman"/>
                <w:sz w:val="21"/>
              </w:rPr>
            </w:pPr>
            <w:r>
              <w:rPr>
                <w:rFonts w:ascii="Times New Roman"/>
                <w:sz w:val="21"/>
              </w:rPr>
              <w:t>30.0</w:t>
            </w:r>
          </w:p>
        </w:tc>
      </w:tr>
      <w:tr>
        <w:trPr>
          <w:trHeight w:val="477" w:hRule="atLeast"/>
        </w:trPr>
        <w:tc>
          <w:tcPr>
            <w:tcW w:w="1871" w:type="dxa"/>
            <w:tcBorders>
              <w:top w:val="single" w:sz="4" w:space="0" w:color="000000"/>
              <w:left w:val="nil"/>
              <w:right w:val="single" w:sz="4" w:space="0" w:color="000000"/>
            </w:tcBorders>
          </w:tcPr>
          <w:p>
            <w:pPr>
              <w:pStyle w:val="TableParagraph"/>
              <w:spacing w:before="161"/>
              <w:ind w:left="32"/>
              <w:jc w:val="center"/>
              <w:rPr>
                <w:sz w:val="21"/>
              </w:rPr>
            </w:pPr>
            <w:r>
              <w:rPr>
                <w:sz w:val="21"/>
              </w:rPr>
              <w:t>产生量（</w:t>
            </w:r>
            <w:r>
              <w:rPr>
                <w:rFonts w:ascii="Times New Roman" w:eastAsia="Times New Roman"/>
                <w:sz w:val="21"/>
              </w:rPr>
              <w:t>t/a</w:t>
            </w:r>
            <w:r>
              <w:rPr>
                <w:sz w:val="21"/>
              </w:rPr>
              <w:t>）</w:t>
            </w:r>
          </w:p>
        </w:tc>
        <w:tc>
          <w:tcPr>
            <w:tcW w:w="1505" w:type="dxa"/>
            <w:tcBorders>
              <w:top w:val="single" w:sz="4" w:space="0" w:color="000000"/>
              <w:left w:val="single" w:sz="4" w:space="0" w:color="000000"/>
              <w:right w:val="single" w:sz="4" w:space="0" w:color="000000"/>
            </w:tcBorders>
          </w:tcPr>
          <w:p>
            <w:pPr>
              <w:pStyle w:val="TableParagraph"/>
              <w:spacing w:before="175"/>
              <w:ind w:left="319" w:right="290"/>
              <w:jc w:val="center"/>
              <w:rPr>
                <w:rFonts w:ascii="Times New Roman"/>
                <w:sz w:val="21"/>
              </w:rPr>
            </w:pPr>
            <w:r>
              <w:rPr>
                <w:rFonts w:ascii="Times New Roman"/>
                <w:sz w:val="21"/>
              </w:rPr>
              <w:t>20.16</w:t>
            </w:r>
          </w:p>
        </w:tc>
        <w:tc>
          <w:tcPr>
            <w:tcW w:w="1225" w:type="dxa"/>
            <w:tcBorders>
              <w:top w:val="single" w:sz="4" w:space="0" w:color="000000"/>
              <w:left w:val="single" w:sz="4" w:space="0" w:color="000000"/>
              <w:right w:val="single" w:sz="4" w:space="0" w:color="000000"/>
            </w:tcBorders>
          </w:tcPr>
          <w:p>
            <w:pPr>
              <w:pStyle w:val="TableParagraph"/>
              <w:spacing w:before="175"/>
              <w:ind w:left="366" w:right="336"/>
              <w:jc w:val="center"/>
              <w:rPr>
                <w:rFonts w:ascii="Times New Roman"/>
                <w:sz w:val="21"/>
              </w:rPr>
            </w:pPr>
            <w:r>
              <w:rPr>
                <w:rFonts w:ascii="Times New Roman"/>
                <w:sz w:val="21"/>
              </w:rPr>
              <w:t>0.006</w:t>
            </w:r>
          </w:p>
        </w:tc>
        <w:tc>
          <w:tcPr>
            <w:tcW w:w="1073" w:type="dxa"/>
            <w:tcBorders>
              <w:top w:val="single" w:sz="4" w:space="0" w:color="000000"/>
              <w:left w:val="single" w:sz="4" w:space="0" w:color="000000"/>
              <w:right w:val="single" w:sz="4" w:space="0" w:color="000000"/>
            </w:tcBorders>
          </w:tcPr>
          <w:p>
            <w:pPr>
              <w:pStyle w:val="TableParagraph"/>
              <w:spacing w:before="175"/>
              <w:ind w:left="264" w:right="235"/>
              <w:jc w:val="center"/>
              <w:rPr>
                <w:rFonts w:ascii="Times New Roman"/>
                <w:sz w:val="21"/>
              </w:rPr>
            </w:pPr>
            <w:r>
              <w:rPr>
                <w:rFonts w:ascii="Times New Roman"/>
                <w:sz w:val="21"/>
              </w:rPr>
              <w:t>0.003</w:t>
            </w:r>
          </w:p>
        </w:tc>
        <w:tc>
          <w:tcPr>
            <w:tcW w:w="1073" w:type="dxa"/>
            <w:tcBorders>
              <w:top w:val="single" w:sz="4" w:space="0" w:color="000000"/>
              <w:left w:val="single" w:sz="4" w:space="0" w:color="000000"/>
              <w:right w:val="single" w:sz="4" w:space="0" w:color="000000"/>
            </w:tcBorders>
          </w:tcPr>
          <w:p>
            <w:pPr>
              <w:pStyle w:val="TableParagraph"/>
              <w:spacing w:before="175"/>
              <w:ind w:left="263" w:right="235"/>
              <w:jc w:val="center"/>
              <w:rPr>
                <w:rFonts w:ascii="Times New Roman"/>
                <w:sz w:val="21"/>
              </w:rPr>
            </w:pPr>
            <w:r>
              <w:rPr>
                <w:rFonts w:ascii="Times New Roman"/>
                <w:sz w:val="21"/>
              </w:rPr>
              <w:t>0.005</w:t>
            </w:r>
          </w:p>
        </w:tc>
        <w:tc>
          <w:tcPr>
            <w:tcW w:w="1073" w:type="dxa"/>
            <w:tcBorders>
              <w:top w:val="single" w:sz="4" w:space="0" w:color="000000"/>
              <w:left w:val="single" w:sz="4" w:space="0" w:color="000000"/>
              <w:right w:val="nil"/>
            </w:tcBorders>
          </w:tcPr>
          <w:p>
            <w:pPr>
              <w:pStyle w:val="TableParagraph"/>
              <w:spacing w:before="175"/>
              <w:ind w:left="222" w:right="199"/>
              <w:jc w:val="center"/>
              <w:rPr>
                <w:rFonts w:ascii="Times New Roman"/>
                <w:sz w:val="21"/>
              </w:rPr>
            </w:pPr>
            <w:r>
              <w:rPr>
                <w:rFonts w:ascii="Times New Roman"/>
                <w:sz w:val="21"/>
              </w:rPr>
              <w:t>0.0006</w:t>
            </w:r>
          </w:p>
        </w:tc>
      </w:tr>
    </w:tbl>
    <w:p>
      <w:pPr>
        <w:pStyle w:val="ListParagraph"/>
        <w:numPr>
          <w:ilvl w:val="2"/>
          <w:numId w:val="10"/>
        </w:numPr>
        <w:tabs>
          <w:tab w:pos="1287" w:val="left" w:leader="none"/>
        </w:tabs>
        <w:spacing w:line="240" w:lineRule="auto" w:before="114" w:after="0"/>
        <w:ind w:left="1286" w:right="0" w:hanging="541"/>
        <w:jc w:val="left"/>
        <w:rPr>
          <w:b/>
          <w:sz w:val="24"/>
        </w:rPr>
      </w:pPr>
      <w:r>
        <w:rPr>
          <w:b/>
          <w:sz w:val="24"/>
        </w:rPr>
        <w:t>噪声污染源强分析</w:t>
      </w:r>
    </w:p>
    <w:p>
      <w:pPr>
        <w:pStyle w:val="BodyText"/>
        <w:spacing w:line="345" w:lineRule="auto" w:before="132"/>
        <w:ind w:left="266" w:right="169" w:firstLine="480"/>
      </w:pPr>
      <w:r>
        <w:rPr>
          <w:spacing w:val="-6"/>
        </w:rPr>
        <w:t>本项目噪声主要为挖掘机和装载车辆的噪声。项目设置挖掘机</w:t>
      </w:r>
      <w:r>
        <w:rPr>
          <w:rFonts w:ascii="Times New Roman" w:eastAsia="Times New Roman"/>
        </w:rPr>
        <w:t>1 </w:t>
      </w:r>
      <w:r>
        <w:rPr>
          <w:spacing w:val="-14"/>
        </w:rPr>
        <w:t>台，噪声值在</w:t>
      </w:r>
      <w:r>
        <w:rPr>
          <w:rFonts w:ascii="Times New Roman" w:eastAsia="Times New Roman"/>
        </w:rPr>
        <w:t>90d</w:t>
      </w:r>
      <w:r>
        <w:rPr>
          <w:rFonts w:ascii="Times New Roman" w:eastAsia="Times New Roman"/>
          <w:spacing w:val="-117"/>
        </w:rPr>
        <w:t>B</w:t>
      </w:r>
      <w:r>
        <w:rPr>
          <w:spacing w:val="-3"/>
        </w:rPr>
        <w:t>（</w:t>
      </w:r>
      <w:r>
        <w:rPr>
          <w:rFonts w:ascii="Times New Roman" w:eastAsia="Times New Roman"/>
          <w:spacing w:val="-1"/>
        </w:rPr>
        <w:t>A</w:t>
      </w:r>
      <w:r>
        <w:rPr>
          <w:spacing w:val="-120"/>
        </w:rPr>
        <w:t>）</w:t>
      </w:r>
      <w:r>
        <w:rPr>
          <w:spacing w:val="-14"/>
        </w:rPr>
        <w:t>。</w:t>
      </w:r>
      <w:r>
        <w:rPr>
          <w:spacing w:val="-5"/>
        </w:rPr>
        <w:t>具体高噪声设备类比源强见表 </w:t>
      </w:r>
      <w:r>
        <w:rPr>
          <w:rFonts w:ascii="Times New Roman" w:eastAsia="Times New Roman"/>
        </w:rPr>
        <w:t>5.2</w:t>
      </w:r>
      <w:r>
        <w:rPr/>
        <w:t>。</w:t>
      </w:r>
    </w:p>
    <w:p>
      <w:pPr>
        <w:pStyle w:val="Heading2"/>
        <w:tabs>
          <w:tab w:pos="3717" w:val="left" w:leader="none"/>
          <w:tab w:pos="6004" w:val="left" w:leader="none"/>
        </w:tabs>
        <w:spacing w:line="303" w:lineRule="exact" w:after="19"/>
        <w:ind w:left="2637"/>
        <w:rPr>
          <w:rFonts w:ascii="Times New Roman" w:eastAsia="Times New Roman"/>
        </w:rPr>
      </w:pPr>
      <w:r>
        <w:rPr/>
        <w:t>表</w:t>
      </w:r>
      <w:r>
        <w:rPr>
          <w:spacing w:val="-62"/>
        </w:rPr>
        <w:t> </w:t>
      </w:r>
      <w:r>
        <w:rPr>
          <w:rFonts w:ascii="Times New Roman" w:eastAsia="Times New Roman"/>
        </w:rPr>
        <w:t>5.2</w:t>
        <w:tab/>
      </w:r>
      <w:r>
        <w:rPr/>
        <w:t>主要噪声源声级</w:t>
        <w:tab/>
        <w:t>单位：</w:t>
      </w:r>
      <w:r>
        <w:rPr>
          <w:rFonts w:ascii="Times New Roman" w:eastAsia="Times New Roman"/>
        </w:rPr>
        <w:t>dB(A)</w:t>
      </w:r>
    </w:p>
    <w:tbl>
      <w:tblPr>
        <w:tblW w:w="0" w:type="auto"/>
        <w:jc w:val="left"/>
        <w:tblInd w:w="9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7"/>
        <w:gridCol w:w="967"/>
        <w:gridCol w:w="1979"/>
        <w:gridCol w:w="1404"/>
        <w:gridCol w:w="1583"/>
        <w:gridCol w:w="1322"/>
      </w:tblGrid>
      <w:tr>
        <w:trPr>
          <w:trHeight w:val="440" w:hRule="atLeast"/>
        </w:trPr>
        <w:tc>
          <w:tcPr>
            <w:tcW w:w="767" w:type="dxa"/>
            <w:tcBorders>
              <w:left w:val="nil"/>
              <w:right w:val="single" w:sz="2" w:space="0" w:color="000000"/>
            </w:tcBorders>
          </w:tcPr>
          <w:p>
            <w:pPr>
              <w:pStyle w:val="TableParagraph"/>
              <w:spacing w:before="141"/>
              <w:ind w:left="167" w:right="137"/>
              <w:jc w:val="center"/>
              <w:rPr>
                <w:sz w:val="21"/>
              </w:rPr>
            </w:pPr>
            <w:r>
              <w:rPr>
                <w:sz w:val="21"/>
              </w:rPr>
              <w:t>序号</w:t>
            </w:r>
          </w:p>
        </w:tc>
        <w:tc>
          <w:tcPr>
            <w:tcW w:w="967" w:type="dxa"/>
            <w:tcBorders>
              <w:left w:val="single" w:sz="2" w:space="0" w:color="000000"/>
              <w:right w:val="single" w:sz="2" w:space="0" w:color="000000"/>
            </w:tcBorders>
          </w:tcPr>
          <w:p>
            <w:pPr>
              <w:pStyle w:val="TableParagraph"/>
              <w:spacing w:before="141"/>
              <w:ind w:left="159" w:right="133"/>
              <w:jc w:val="center"/>
              <w:rPr>
                <w:sz w:val="21"/>
              </w:rPr>
            </w:pPr>
            <w:r>
              <w:rPr>
                <w:sz w:val="21"/>
              </w:rPr>
              <w:t>位置</w:t>
            </w:r>
          </w:p>
        </w:tc>
        <w:tc>
          <w:tcPr>
            <w:tcW w:w="1979" w:type="dxa"/>
            <w:tcBorders>
              <w:left w:val="single" w:sz="2" w:space="0" w:color="000000"/>
              <w:right w:val="single" w:sz="2" w:space="0" w:color="000000"/>
            </w:tcBorders>
          </w:tcPr>
          <w:p>
            <w:pPr>
              <w:pStyle w:val="TableParagraph"/>
              <w:spacing w:before="141"/>
              <w:ind w:left="665" w:right="638"/>
              <w:jc w:val="center"/>
              <w:rPr>
                <w:sz w:val="21"/>
              </w:rPr>
            </w:pPr>
            <w:r>
              <w:rPr>
                <w:sz w:val="21"/>
              </w:rPr>
              <w:t>名称</w:t>
            </w:r>
          </w:p>
        </w:tc>
        <w:tc>
          <w:tcPr>
            <w:tcW w:w="1404" w:type="dxa"/>
            <w:tcBorders>
              <w:left w:val="single" w:sz="2" w:space="0" w:color="000000"/>
              <w:right w:val="single" w:sz="2" w:space="0" w:color="000000"/>
            </w:tcBorders>
          </w:tcPr>
          <w:p>
            <w:pPr>
              <w:pStyle w:val="TableParagraph"/>
              <w:spacing w:before="141"/>
              <w:ind w:left="378" w:right="350"/>
              <w:jc w:val="center"/>
              <w:rPr>
                <w:sz w:val="21"/>
              </w:rPr>
            </w:pPr>
            <w:r>
              <w:rPr>
                <w:sz w:val="21"/>
              </w:rPr>
              <w:t>噪声级</w:t>
            </w:r>
          </w:p>
        </w:tc>
        <w:tc>
          <w:tcPr>
            <w:tcW w:w="1583" w:type="dxa"/>
            <w:tcBorders>
              <w:left w:val="single" w:sz="2" w:space="0" w:color="000000"/>
              <w:right w:val="single" w:sz="2" w:space="0" w:color="000000"/>
            </w:tcBorders>
          </w:tcPr>
          <w:p>
            <w:pPr>
              <w:pStyle w:val="TableParagraph"/>
              <w:spacing w:before="141"/>
              <w:ind w:left="123" w:right="96"/>
              <w:jc w:val="center"/>
              <w:rPr>
                <w:sz w:val="21"/>
              </w:rPr>
            </w:pPr>
            <w:r>
              <w:rPr>
                <w:sz w:val="21"/>
              </w:rPr>
              <w:t>数量（台</w:t>
            </w:r>
            <w:r>
              <w:rPr>
                <w:rFonts w:ascii="Times New Roman" w:eastAsia="Times New Roman"/>
                <w:sz w:val="21"/>
              </w:rPr>
              <w:t>/</w:t>
            </w:r>
            <w:r>
              <w:rPr>
                <w:sz w:val="21"/>
              </w:rPr>
              <w:t>套）</w:t>
            </w:r>
          </w:p>
        </w:tc>
        <w:tc>
          <w:tcPr>
            <w:tcW w:w="1322" w:type="dxa"/>
            <w:tcBorders>
              <w:left w:val="single" w:sz="2" w:space="0" w:color="000000"/>
              <w:right w:val="nil"/>
            </w:tcBorders>
          </w:tcPr>
          <w:p>
            <w:pPr>
              <w:pStyle w:val="TableParagraph"/>
              <w:spacing w:before="141"/>
              <w:ind w:left="232" w:right="206"/>
              <w:jc w:val="center"/>
              <w:rPr>
                <w:sz w:val="21"/>
              </w:rPr>
            </w:pPr>
            <w:r>
              <w:rPr>
                <w:sz w:val="21"/>
              </w:rPr>
              <w:t>噪声性质</w:t>
            </w:r>
          </w:p>
        </w:tc>
      </w:tr>
      <w:tr>
        <w:trPr>
          <w:trHeight w:val="440" w:hRule="atLeast"/>
        </w:trPr>
        <w:tc>
          <w:tcPr>
            <w:tcW w:w="767" w:type="dxa"/>
            <w:tcBorders>
              <w:left w:val="nil"/>
              <w:right w:val="single" w:sz="2" w:space="0" w:color="000000"/>
            </w:tcBorders>
          </w:tcPr>
          <w:p>
            <w:pPr>
              <w:pStyle w:val="TableParagraph"/>
              <w:spacing w:before="156"/>
              <w:ind w:left="28"/>
              <w:jc w:val="center"/>
              <w:rPr>
                <w:rFonts w:ascii="Times New Roman"/>
                <w:sz w:val="21"/>
              </w:rPr>
            </w:pPr>
            <w:r>
              <w:rPr>
                <w:rFonts w:ascii="Times New Roman"/>
                <w:w w:val="99"/>
                <w:sz w:val="21"/>
              </w:rPr>
              <w:t>1</w:t>
            </w:r>
          </w:p>
        </w:tc>
        <w:tc>
          <w:tcPr>
            <w:tcW w:w="967" w:type="dxa"/>
            <w:tcBorders>
              <w:left w:val="single" w:sz="2" w:space="0" w:color="000000"/>
              <w:right w:val="single" w:sz="2" w:space="0" w:color="000000"/>
            </w:tcBorders>
          </w:tcPr>
          <w:p>
            <w:pPr>
              <w:pStyle w:val="TableParagraph"/>
              <w:spacing w:before="142"/>
              <w:ind w:left="159" w:right="133"/>
              <w:jc w:val="center"/>
              <w:rPr>
                <w:sz w:val="21"/>
              </w:rPr>
            </w:pPr>
            <w:r>
              <w:rPr>
                <w:sz w:val="21"/>
              </w:rPr>
              <w:t>采矿区</w:t>
            </w:r>
          </w:p>
        </w:tc>
        <w:tc>
          <w:tcPr>
            <w:tcW w:w="1979" w:type="dxa"/>
            <w:tcBorders>
              <w:left w:val="single" w:sz="2" w:space="0" w:color="000000"/>
              <w:right w:val="single" w:sz="2" w:space="0" w:color="000000"/>
            </w:tcBorders>
          </w:tcPr>
          <w:p>
            <w:pPr>
              <w:pStyle w:val="TableParagraph"/>
              <w:spacing w:before="142"/>
              <w:ind w:left="665" w:right="638"/>
              <w:jc w:val="center"/>
              <w:rPr>
                <w:sz w:val="21"/>
              </w:rPr>
            </w:pPr>
            <w:r>
              <w:rPr>
                <w:sz w:val="21"/>
              </w:rPr>
              <w:t>挖掘机</w:t>
            </w:r>
          </w:p>
        </w:tc>
        <w:tc>
          <w:tcPr>
            <w:tcW w:w="1404" w:type="dxa"/>
            <w:tcBorders>
              <w:left w:val="single" w:sz="2" w:space="0" w:color="000000"/>
              <w:right w:val="single" w:sz="2" w:space="0" w:color="000000"/>
            </w:tcBorders>
          </w:tcPr>
          <w:p>
            <w:pPr>
              <w:pStyle w:val="TableParagraph"/>
              <w:spacing w:before="156"/>
              <w:ind w:left="377" w:right="350"/>
              <w:jc w:val="center"/>
              <w:rPr>
                <w:rFonts w:ascii="Times New Roman"/>
                <w:sz w:val="21"/>
              </w:rPr>
            </w:pPr>
            <w:r>
              <w:rPr>
                <w:rFonts w:ascii="Times New Roman"/>
                <w:sz w:val="21"/>
              </w:rPr>
              <w:t>90</w:t>
            </w:r>
          </w:p>
        </w:tc>
        <w:tc>
          <w:tcPr>
            <w:tcW w:w="1583" w:type="dxa"/>
            <w:tcBorders>
              <w:left w:val="single" w:sz="2" w:space="0" w:color="000000"/>
              <w:right w:val="single" w:sz="2" w:space="0" w:color="000000"/>
            </w:tcBorders>
          </w:tcPr>
          <w:p>
            <w:pPr>
              <w:pStyle w:val="TableParagraph"/>
              <w:spacing w:before="156"/>
              <w:ind w:left="25"/>
              <w:jc w:val="center"/>
              <w:rPr>
                <w:rFonts w:ascii="Times New Roman"/>
                <w:sz w:val="21"/>
              </w:rPr>
            </w:pPr>
            <w:r>
              <w:rPr>
                <w:rFonts w:ascii="Times New Roman"/>
                <w:w w:val="99"/>
                <w:sz w:val="21"/>
              </w:rPr>
              <w:t>1</w:t>
            </w:r>
          </w:p>
        </w:tc>
        <w:tc>
          <w:tcPr>
            <w:tcW w:w="1322" w:type="dxa"/>
            <w:tcBorders>
              <w:left w:val="single" w:sz="2" w:space="0" w:color="000000"/>
              <w:right w:val="nil"/>
            </w:tcBorders>
          </w:tcPr>
          <w:p>
            <w:pPr>
              <w:pStyle w:val="TableParagraph"/>
              <w:spacing w:before="142"/>
              <w:ind w:left="229" w:right="206"/>
              <w:jc w:val="center"/>
              <w:rPr>
                <w:sz w:val="21"/>
              </w:rPr>
            </w:pPr>
            <w:r>
              <w:rPr>
                <w:sz w:val="21"/>
              </w:rPr>
              <w:t>间断性</w:t>
            </w:r>
          </w:p>
        </w:tc>
      </w:tr>
    </w:tbl>
    <w:p>
      <w:pPr>
        <w:pStyle w:val="ListParagraph"/>
        <w:numPr>
          <w:ilvl w:val="2"/>
          <w:numId w:val="10"/>
        </w:numPr>
        <w:tabs>
          <w:tab w:pos="1287" w:val="left" w:leader="none"/>
        </w:tabs>
        <w:spacing w:line="240" w:lineRule="auto" w:before="113" w:after="0"/>
        <w:ind w:left="1286" w:right="0" w:hanging="541"/>
        <w:jc w:val="left"/>
        <w:rPr>
          <w:b/>
          <w:sz w:val="24"/>
        </w:rPr>
      </w:pPr>
      <w:r>
        <w:rPr>
          <w:b/>
          <w:sz w:val="24"/>
        </w:rPr>
        <w:t>固体废物污染源强分析</w:t>
      </w:r>
    </w:p>
    <w:p>
      <w:pPr>
        <w:pStyle w:val="BodyText"/>
        <w:spacing w:line="343" w:lineRule="auto" w:before="134"/>
        <w:ind w:left="266" w:right="292" w:firstLine="480"/>
      </w:pPr>
      <w:r>
        <w:rPr/>
        <w:t>矿山开采期间机械设备不在矿区进行保养和维修，因此项目固体废物主要有矿山开采废土石和工作人员生活垃圾。</w:t>
      </w:r>
    </w:p>
    <w:p>
      <w:pPr>
        <w:pStyle w:val="BodyText"/>
        <w:spacing w:line="306" w:lineRule="exact"/>
        <w:ind w:left="746"/>
      </w:pPr>
      <w:r>
        <w:rPr>
          <w:rFonts w:ascii="Times New Roman" w:eastAsia="Times New Roman"/>
        </w:rPr>
        <w:t>1</w:t>
      </w:r>
      <w:r>
        <w:rPr/>
        <w:t>、矿山开采废土石</w:t>
      </w:r>
    </w:p>
    <w:p>
      <w:pPr>
        <w:pStyle w:val="BodyText"/>
        <w:spacing w:line="360" w:lineRule="auto" w:before="149"/>
        <w:ind w:left="266" w:right="289" w:firstLine="480"/>
        <w:jc w:val="both"/>
      </w:pPr>
      <w:r>
        <w:rPr>
          <w:spacing w:val="-1"/>
        </w:rPr>
        <w:t>本项目矿山为露天开采，开采过程中的表土覆盖层薄，矿山平均剥采比按 </w:t>
      </w:r>
      <w:r>
        <w:rPr>
          <w:rFonts w:ascii="Times New Roman" w:eastAsia="Times New Roman"/>
        </w:rPr>
        <w:t>0.1</w:t>
      </w:r>
      <w:r>
        <w:rPr/>
        <w:t>：</w:t>
      </w:r>
      <w:r>
        <w:rPr>
          <w:rFonts w:ascii="Times New Roman" w:eastAsia="Times New Roman"/>
        </w:rPr>
        <w:t>1</w:t>
      </w:r>
      <w:r>
        <w:rPr/>
        <w:t>。则</w:t>
      </w:r>
      <w:r>
        <w:rPr>
          <w:spacing w:val="-20"/>
        </w:rPr>
        <w:t>开采 </w:t>
      </w:r>
      <w:r>
        <w:rPr>
          <w:rFonts w:ascii="Times New Roman" w:eastAsia="Times New Roman"/>
        </w:rPr>
        <w:t>1.4</w:t>
      </w:r>
      <w:r>
        <w:rPr>
          <w:rFonts w:ascii="Times New Roman" w:eastAsia="Times New Roman"/>
          <w:spacing w:val="1"/>
        </w:rPr>
        <w:t> </w:t>
      </w:r>
      <w:r>
        <w:rPr>
          <w:spacing w:val="-30"/>
        </w:rPr>
        <w:t>万 </w:t>
      </w:r>
      <w:r>
        <w:rPr>
          <w:rFonts w:ascii="Times New Roman" w:eastAsia="Times New Roman"/>
        </w:rPr>
        <w:t>m</w:t>
      </w:r>
      <w:r>
        <w:rPr>
          <w:rFonts w:ascii="Times New Roman" w:eastAsia="Times New Roman"/>
          <w:position w:val="8"/>
          <w:sz w:val="15"/>
        </w:rPr>
        <w:t>3</w:t>
      </w:r>
      <w:r>
        <w:rPr>
          <w:rFonts w:ascii="Times New Roman" w:eastAsia="Times New Roman"/>
        </w:rPr>
        <w:t>/a </w:t>
      </w:r>
      <w:r>
        <w:rPr>
          <w:spacing w:val="-10"/>
        </w:rPr>
        <w:t>矿石，废土石的产生量为 </w:t>
      </w:r>
      <w:r>
        <w:rPr>
          <w:rFonts w:ascii="Times New Roman" w:eastAsia="Times New Roman"/>
        </w:rPr>
        <w:t>0.14 </w:t>
      </w:r>
      <w:r>
        <w:rPr>
          <w:spacing w:val="-30"/>
        </w:rPr>
        <w:t>万 </w:t>
      </w:r>
      <w:r>
        <w:rPr>
          <w:rFonts w:ascii="Times New Roman" w:eastAsia="Times New Roman"/>
        </w:rPr>
        <w:t>m</w:t>
      </w:r>
      <w:r>
        <w:rPr>
          <w:rFonts w:ascii="Times New Roman" w:eastAsia="Times New Roman"/>
          <w:position w:val="8"/>
          <w:sz w:val="15"/>
        </w:rPr>
        <w:t>3</w:t>
      </w:r>
      <w:r>
        <w:rPr>
          <w:spacing w:val="-8"/>
        </w:rPr>
        <w:t>。项目应在矿区低洼处设置排土场，用</w:t>
      </w:r>
      <w:r>
        <w:rPr/>
        <w:t>于堆放表土剥离的弃土。</w:t>
      </w:r>
    </w:p>
    <w:p>
      <w:pPr>
        <w:pStyle w:val="BodyText"/>
        <w:spacing w:line="289" w:lineRule="exact"/>
        <w:ind w:left="746"/>
      </w:pPr>
      <w:r>
        <w:rPr>
          <w:rFonts w:ascii="Times New Roman" w:eastAsia="Times New Roman"/>
        </w:rPr>
        <w:t>2</w:t>
      </w:r>
      <w:r>
        <w:rPr/>
        <w:t>、工作人员生活垃圾</w:t>
      </w:r>
    </w:p>
    <w:p>
      <w:pPr>
        <w:pStyle w:val="BodyText"/>
        <w:spacing w:line="343" w:lineRule="auto" w:before="131"/>
        <w:ind w:left="266" w:right="292" w:firstLine="480"/>
      </w:pPr>
      <w:r>
        <w:rPr>
          <w:spacing w:val="-8"/>
        </w:rPr>
        <w:t>本项目总共定员 </w:t>
      </w:r>
      <w:r>
        <w:rPr>
          <w:rFonts w:ascii="Times New Roman" w:eastAsia="Times New Roman"/>
        </w:rPr>
        <w:t>2 </w:t>
      </w:r>
      <w:r>
        <w:rPr>
          <w:spacing w:val="-8"/>
        </w:rPr>
        <w:t>人，每人每天产生生活垃圾量 </w:t>
      </w:r>
      <w:r>
        <w:rPr>
          <w:rFonts w:ascii="Times New Roman" w:eastAsia="Times New Roman"/>
        </w:rPr>
        <w:t>0.5kg</w:t>
      </w:r>
      <w:r>
        <w:rPr>
          <w:spacing w:val="-11"/>
        </w:rPr>
        <w:t>，年工作日 </w:t>
      </w:r>
      <w:r>
        <w:rPr>
          <w:rFonts w:ascii="Times New Roman" w:eastAsia="Times New Roman"/>
        </w:rPr>
        <w:t>210 </w:t>
      </w:r>
      <w:r>
        <w:rPr>
          <w:spacing w:val="-5"/>
        </w:rPr>
        <w:t>天，全年产生生</w:t>
      </w:r>
      <w:r>
        <w:rPr>
          <w:spacing w:val="-13"/>
        </w:rPr>
        <w:t>活垃圾量 </w:t>
      </w:r>
      <w:r>
        <w:rPr>
          <w:rFonts w:ascii="Times New Roman" w:eastAsia="Times New Roman"/>
        </w:rPr>
        <w:t>0.21t</w:t>
      </w:r>
      <w:r>
        <w:rPr/>
        <w:t>。</w:t>
      </w:r>
    </w:p>
    <w:p>
      <w:pPr>
        <w:pStyle w:val="Heading2"/>
        <w:numPr>
          <w:ilvl w:val="2"/>
          <w:numId w:val="10"/>
        </w:numPr>
        <w:tabs>
          <w:tab w:pos="1287" w:val="left" w:leader="none"/>
        </w:tabs>
        <w:spacing w:line="240" w:lineRule="auto" w:before="2" w:after="0"/>
        <w:ind w:left="1286" w:right="0" w:hanging="541"/>
        <w:jc w:val="left"/>
      </w:pPr>
      <w:r>
        <w:rPr/>
        <w:t>生态环境</w:t>
      </w:r>
    </w:p>
    <w:p>
      <w:pPr>
        <w:pStyle w:val="BodyText"/>
        <w:spacing w:line="343" w:lineRule="auto" w:before="131"/>
        <w:ind w:left="266" w:right="292" w:firstLine="480"/>
        <w:jc w:val="both"/>
      </w:pPr>
      <w:r>
        <w:rPr/>
        <w:t>本项目采掘过程是引起水土流失的工程因素，在开挖过程中，土壤暴露在雨、风和其他干扰因素中，另外，开挖陡坡、边坡的形成和整理，会使土壤暴露情况加剧。同时，施工中土壤结构会受到破坏，土壤抵抗侵蚀的能力将会大大减弱，在暴雨中由降雨所产生的土壤侵蚀，易造成较严重的水土流失。</w:t>
      </w:r>
    </w:p>
    <w:p>
      <w:pPr>
        <w:pStyle w:val="Heading2"/>
        <w:numPr>
          <w:ilvl w:val="2"/>
          <w:numId w:val="10"/>
        </w:numPr>
        <w:tabs>
          <w:tab w:pos="1287" w:val="left" w:leader="none"/>
        </w:tabs>
        <w:spacing w:line="240" w:lineRule="auto" w:before="1" w:after="0"/>
        <w:ind w:left="1286" w:right="0" w:hanging="541"/>
        <w:jc w:val="left"/>
      </w:pPr>
      <w:r>
        <w:rPr/>
        <w:t>闭矿期</w:t>
      </w:r>
    </w:p>
    <w:p>
      <w:pPr>
        <w:pStyle w:val="BodyText"/>
        <w:spacing w:line="343" w:lineRule="auto" w:before="134"/>
        <w:ind w:left="266" w:right="292" w:firstLine="480"/>
        <w:jc w:val="both"/>
      </w:pPr>
      <w:r>
        <w:rPr/>
        <w:t>露天矿因资源枯竭而闭矿后，采装、运输等工序全部结束，粉尘、噪声、固废不再产生。因采掘场的剥离最终形成的开采面，经过水土保持工程和生物措施的逐步实施，以及矿区复垦及生态恢复方案的实施，矿区生态环境会得到改善。只是原来的景观格局发生改</w:t>
      </w:r>
    </w:p>
    <w:p>
      <w:pPr>
        <w:spacing w:after="0" w:line="343" w:lineRule="auto"/>
        <w:jc w:val="both"/>
        <w:sectPr>
          <w:pgSz w:w="11910" w:h="16840"/>
          <w:pgMar w:header="0" w:footer="770" w:top="1220" w:bottom="1040" w:left="1020" w:right="880"/>
        </w:sectPr>
      </w:pPr>
    </w:p>
    <w:p>
      <w:pPr>
        <w:pStyle w:val="BodyText"/>
        <w:ind w:left="153"/>
        <w:rPr>
          <w:sz w:val="20"/>
        </w:rPr>
      </w:pPr>
      <w:r>
        <w:rPr>
          <w:sz w:val="20"/>
        </w:rPr>
        <w:pict>
          <v:shape style="width:483.15pt;height:374.5pt;mso-position-horizontal-relative:char;mso-position-vertical-relative:line" type="#_x0000_t202" filled="false" stroked="true" strokeweight=".48pt" strokecolor="#000000">
            <w10:anchorlock/>
            <v:textbox inset="0,0,0,0">
              <w:txbxContent>
                <w:p>
                  <w:pPr>
                    <w:pStyle w:val="BodyText"/>
                    <w:spacing w:before="112"/>
                    <w:ind w:left="103"/>
                  </w:pPr>
                  <w:r>
                    <w:rPr/>
                    <w:t>变，土地利用情况发生了改变。</w:t>
                  </w:r>
                </w:p>
              </w:txbxContent>
            </v:textbox>
            <v:stroke dashstyle="solid"/>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8"/>
        </w:rPr>
      </w:pPr>
    </w:p>
    <w:p>
      <w:pPr>
        <w:pStyle w:val="Heading1"/>
        <w:numPr>
          <w:ilvl w:val="0"/>
          <w:numId w:val="2"/>
        </w:numPr>
        <w:tabs>
          <w:tab w:pos="437" w:val="left" w:leader="none"/>
        </w:tabs>
        <w:spacing w:line="240" w:lineRule="auto" w:before="70" w:after="0"/>
        <w:ind w:left="436" w:right="0" w:hanging="210"/>
        <w:jc w:val="left"/>
      </w:pPr>
      <w:bookmarkStart w:name="6主要污染物产生及预计排放情况" w:id="40"/>
      <w:bookmarkEnd w:id="40"/>
      <w:r>
        <w:rPr/>
      </w:r>
      <w:bookmarkStart w:name="_bookmark11" w:id="41"/>
      <w:bookmarkEnd w:id="41"/>
      <w:r>
        <w:rPr/>
      </w:r>
      <w:bookmarkStart w:name="_bookmark11" w:id="42"/>
      <w:bookmarkEnd w:id="42"/>
      <w:r>
        <w:rPr>
          <w:spacing w:val="-3"/>
        </w:rPr>
        <w:t>主要污染物产生及预计排放情况</w:t>
      </w:r>
    </w:p>
    <w:p>
      <w:pPr>
        <w:spacing w:after="0" w:line="240" w:lineRule="auto"/>
        <w:jc w:val="left"/>
        <w:sectPr>
          <w:pgSz w:w="11910" w:h="16840"/>
          <w:pgMar w:header="0" w:footer="770" w:top="1240" w:bottom="1040" w:left="1020" w:right="880"/>
        </w:sectPr>
      </w:pPr>
    </w:p>
    <w:tbl>
      <w:tblPr>
        <w:tblW w:w="0" w:type="auto"/>
        <w:jc w:val="left"/>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73"/>
        <w:gridCol w:w="1652"/>
        <w:gridCol w:w="1544"/>
        <w:gridCol w:w="2646"/>
        <w:gridCol w:w="2625"/>
      </w:tblGrid>
      <w:tr>
        <w:trPr>
          <w:trHeight w:val="936" w:hRule="atLeast"/>
        </w:trPr>
        <w:tc>
          <w:tcPr>
            <w:tcW w:w="1173" w:type="dxa"/>
            <w:tcBorders>
              <w:bottom w:val="single" w:sz="4" w:space="0" w:color="000000"/>
              <w:right w:val="single" w:sz="4" w:space="0" w:color="000000"/>
            </w:tcBorders>
          </w:tcPr>
          <w:p>
            <w:pPr>
              <w:pStyle w:val="TableParagraph"/>
              <w:spacing w:before="3"/>
              <w:ind w:left="587"/>
              <w:rPr>
                <w:b/>
                <w:sz w:val="24"/>
              </w:rPr>
            </w:pPr>
            <w:r>
              <w:rPr>
                <w:b/>
                <w:sz w:val="24"/>
              </w:rPr>
              <w:t>内容</w:t>
            </w:r>
          </w:p>
          <w:p>
            <w:pPr>
              <w:pStyle w:val="TableParagraph"/>
              <w:spacing w:before="9"/>
              <w:rPr>
                <w:rFonts w:ascii="黑体"/>
                <w:sz w:val="24"/>
              </w:rPr>
            </w:pPr>
          </w:p>
          <w:p>
            <w:pPr>
              <w:pStyle w:val="TableParagraph"/>
              <w:spacing w:line="289" w:lineRule="exact"/>
              <w:ind w:left="107"/>
              <w:rPr>
                <w:b/>
                <w:sz w:val="24"/>
              </w:rPr>
            </w:pPr>
            <w:r>
              <w:rPr>
                <w:b/>
                <w:sz w:val="24"/>
              </w:rPr>
              <w:t>类型</w:t>
            </w:r>
          </w:p>
        </w:tc>
        <w:tc>
          <w:tcPr>
            <w:tcW w:w="1652" w:type="dxa"/>
            <w:tcBorders>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336" w:right="304"/>
              <w:jc w:val="center"/>
              <w:rPr>
                <w:b/>
                <w:sz w:val="24"/>
              </w:rPr>
            </w:pPr>
            <w:r>
              <w:rPr>
                <w:b/>
                <w:sz w:val="24"/>
              </w:rPr>
              <w:t>排放源</w:t>
            </w:r>
          </w:p>
        </w:tc>
        <w:tc>
          <w:tcPr>
            <w:tcW w:w="1544" w:type="dxa"/>
            <w:tcBorders>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117" w:right="82"/>
              <w:jc w:val="center"/>
              <w:rPr>
                <w:b/>
                <w:sz w:val="24"/>
              </w:rPr>
            </w:pPr>
            <w:r>
              <w:rPr>
                <w:b/>
                <w:sz w:val="24"/>
              </w:rPr>
              <w:t>污染物名称</w:t>
            </w:r>
          </w:p>
        </w:tc>
        <w:tc>
          <w:tcPr>
            <w:tcW w:w="2646" w:type="dxa"/>
            <w:tcBorders>
              <w:left w:val="single" w:sz="4" w:space="0" w:color="000000"/>
              <w:bottom w:val="single" w:sz="4" w:space="0" w:color="000000"/>
              <w:right w:val="single" w:sz="4" w:space="0" w:color="000000"/>
            </w:tcBorders>
          </w:tcPr>
          <w:p>
            <w:pPr>
              <w:pStyle w:val="TableParagraph"/>
              <w:spacing w:line="252" w:lineRule="auto" w:before="164"/>
              <w:ind w:left="851" w:right="458" w:hanging="360"/>
              <w:rPr>
                <w:b/>
                <w:sz w:val="24"/>
              </w:rPr>
            </w:pPr>
            <w:r>
              <w:rPr>
                <w:b/>
                <w:sz w:val="24"/>
              </w:rPr>
              <w:t>处理前产生浓度及产生量</w:t>
            </w:r>
          </w:p>
        </w:tc>
        <w:tc>
          <w:tcPr>
            <w:tcW w:w="2625" w:type="dxa"/>
            <w:tcBorders>
              <w:left w:val="single" w:sz="4" w:space="0" w:color="000000"/>
              <w:bottom w:val="single" w:sz="4" w:space="0" w:color="000000"/>
            </w:tcBorders>
          </w:tcPr>
          <w:p>
            <w:pPr>
              <w:pStyle w:val="TableParagraph"/>
              <w:spacing w:line="252" w:lineRule="auto" w:before="164"/>
              <w:ind w:left="720" w:right="557" w:hanging="120"/>
              <w:rPr>
                <w:b/>
                <w:sz w:val="24"/>
              </w:rPr>
            </w:pPr>
            <w:r>
              <w:rPr>
                <w:b/>
                <w:sz w:val="24"/>
              </w:rPr>
              <w:t>处理后排放浓度及排放量</w:t>
            </w:r>
          </w:p>
        </w:tc>
      </w:tr>
      <w:tr>
        <w:trPr>
          <w:trHeight w:val="401" w:hRule="atLeast"/>
        </w:trPr>
        <w:tc>
          <w:tcPr>
            <w:tcW w:w="1173" w:type="dxa"/>
            <w:vMerge w:val="restart"/>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spacing w:before="3"/>
              <w:rPr>
                <w:rFonts w:ascii="黑体"/>
                <w:sz w:val="34"/>
              </w:rPr>
            </w:pPr>
          </w:p>
          <w:p>
            <w:pPr>
              <w:pStyle w:val="TableParagraph"/>
              <w:spacing w:line="242" w:lineRule="auto"/>
              <w:ind w:left="225" w:right="203" w:firstLine="120"/>
              <w:rPr>
                <w:b/>
                <w:sz w:val="24"/>
              </w:rPr>
            </w:pPr>
            <w:r>
              <w:rPr>
                <w:b/>
                <w:sz w:val="24"/>
              </w:rPr>
              <w:t>大气污染物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6"/>
              <w:ind w:left="336" w:right="306"/>
              <w:jc w:val="center"/>
              <w:rPr>
                <w:sz w:val="24"/>
              </w:rPr>
            </w:pPr>
            <w:r>
              <w:rPr>
                <w:sz w:val="24"/>
              </w:rPr>
              <w:t>开采粉尘</w:t>
            </w:r>
          </w:p>
        </w:tc>
        <w:tc>
          <w:tcPr>
            <w:tcW w:w="154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6"/>
              </w:rPr>
            </w:pPr>
          </w:p>
          <w:p>
            <w:pPr>
              <w:pStyle w:val="TableParagraph"/>
              <w:spacing w:before="7"/>
              <w:rPr>
                <w:rFonts w:ascii="黑体"/>
                <w:sz w:val="26"/>
              </w:rPr>
            </w:pPr>
          </w:p>
          <w:p>
            <w:pPr>
              <w:pStyle w:val="TableParagraph"/>
              <w:spacing w:before="1"/>
              <w:ind w:left="117" w:right="85"/>
              <w:jc w:val="center"/>
              <w:rPr>
                <w:rFonts w:ascii="Times New Roman"/>
                <w:sz w:val="24"/>
              </w:rPr>
            </w:pPr>
            <w:r>
              <w:rPr>
                <w:rFonts w:ascii="Times New Roman"/>
                <w:sz w:val="24"/>
              </w:rPr>
              <w:t>TSP</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95"/>
              <w:ind w:left="274" w:right="242"/>
              <w:jc w:val="center"/>
              <w:rPr>
                <w:rFonts w:ascii="Times New Roman" w:eastAsia="Times New Roman"/>
                <w:sz w:val="24"/>
              </w:rPr>
            </w:pPr>
            <w:r>
              <w:rPr>
                <w:sz w:val="21"/>
              </w:rPr>
              <w:t>＞</w:t>
            </w:r>
            <w:r>
              <w:rPr>
                <w:rFonts w:ascii="Times New Roman" w:eastAsia="Times New Roman"/>
                <w:sz w:val="21"/>
              </w:rPr>
              <w:t>1.0 mg/m</w:t>
            </w:r>
            <w:r>
              <w:rPr>
                <w:rFonts w:ascii="Times New Roman" w:eastAsia="Times New Roman"/>
                <w:position w:val="7"/>
                <w:sz w:val="13"/>
              </w:rPr>
              <w:t>3</w:t>
            </w:r>
            <w:r>
              <w:rPr>
                <w:sz w:val="21"/>
              </w:rPr>
              <w:t>，</w:t>
            </w:r>
            <w:r>
              <w:rPr>
                <w:rFonts w:ascii="Times New Roman" w:eastAsia="Times New Roman"/>
                <w:sz w:val="24"/>
              </w:rPr>
              <w:t>1.13 t/a</w:t>
            </w:r>
          </w:p>
        </w:tc>
        <w:tc>
          <w:tcPr>
            <w:tcW w:w="2625" w:type="dxa"/>
            <w:tcBorders>
              <w:top w:val="single" w:sz="4" w:space="0" w:color="000000"/>
              <w:left w:val="single" w:sz="4" w:space="0" w:color="000000"/>
              <w:bottom w:val="single" w:sz="4" w:space="0" w:color="000000"/>
            </w:tcBorders>
          </w:tcPr>
          <w:p>
            <w:pPr>
              <w:pStyle w:val="TableParagraph"/>
              <w:spacing w:before="95"/>
              <w:ind w:left="325" w:right="282"/>
              <w:jc w:val="center"/>
              <w:rPr>
                <w:rFonts w:ascii="Times New Roman" w:eastAsia="Times New Roman"/>
                <w:sz w:val="24"/>
              </w:rPr>
            </w:pPr>
            <w:r>
              <w:rPr>
                <w:sz w:val="21"/>
              </w:rPr>
              <w:t>＜</w:t>
            </w:r>
            <w:r>
              <w:rPr>
                <w:rFonts w:ascii="Times New Roman" w:eastAsia="Times New Roman"/>
                <w:sz w:val="21"/>
              </w:rPr>
              <w:t>1.0mg/m</w:t>
            </w:r>
            <w:r>
              <w:rPr>
                <w:rFonts w:ascii="Times New Roman" w:eastAsia="Times New Roman"/>
                <w:position w:val="7"/>
                <w:sz w:val="13"/>
              </w:rPr>
              <w:t>3</w:t>
            </w:r>
            <w:r>
              <w:rPr>
                <w:sz w:val="21"/>
              </w:rPr>
              <w:t>，</w:t>
            </w:r>
            <w:r>
              <w:rPr>
                <w:rFonts w:ascii="Times New Roman" w:eastAsia="Times New Roman"/>
                <w:sz w:val="24"/>
              </w:rPr>
              <w:t>0.17 t/a</w:t>
            </w:r>
          </w:p>
        </w:tc>
      </w:tr>
      <w:tr>
        <w:trPr>
          <w:trHeight w:val="400"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8"/>
              <w:ind w:left="336" w:right="306"/>
              <w:jc w:val="center"/>
              <w:rPr>
                <w:sz w:val="24"/>
              </w:rPr>
            </w:pPr>
            <w:r>
              <w:rPr>
                <w:sz w:val="24"/>
              </w:rPr>
              <w:t>装卸扬尘</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95"/>
              <w:ind w:left="271" w:right="242"/>
              <w:jc w:val="center"/>
              <w:rPr>
                <w:rFonts w:ascii="Times New Roman"/>
                <w:sz w:val="24"/>
              </w:rPr>
            </w:pPr>
            <w:r>
              <w:rPr>
                <w:rFonts w:ascii="Times New Roman"/>
                <w:sz w:val="24"/>
              </w:rPr>
              <w:t>0.37t/a</w:t>
            </w:r>
          </w:p>
        </w:tc>
        <w:tc>
          <w:tcPr>
            <w:tcW w:w="2625" w:type="dxa"/>
            <w:tcBorders>
              <w:top w:val="single" w:sz="4" w:space="0" w:color="000000"/>
              <w:left w:val="single" w:sz="4" w:space="0" w:color="000000"/>
              <w:bottom w:val="single" w:sz="4" w:space="0" w:color="000000"/>
            </w:tcBorders>
          </w:tcPr>
          <w:p>
            <w:pPr>
              <w:pStyle w:val="TableParagraph"/>
              <w:spacing w:before="95"/>
              <w:ind w:left="321" w:right="282"/>
              <w:jc w:val="center"/>
              <w:rPr>
                <w:rFonts w:ascii="Times New Roman"/>
                <w:sz w:val="24"/>
              </w:rPr>
            </w:pPr>
            <w:r>
              <w:rPr>
                <w:rFonts w:ascii="Times New Roman"/>
                <w:sz w:val="24"/>
              </w:rPr>
              <w:t>0.074t/a</w:t>
            </w:r>
          </w:p>
        </w:tc>
      </w:tr>
      <w:tr>
        <w:trPr>
          <w:trHeight w:val="3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5"/>
              <w:ind w:left="336" w:right="306"/>
              <w:jc w:val="center"/>
              <w:rPr>
                <w:sz w:val="24"/>
              </w:rPr>
            </w:pPr>
            <w:r>
              <w:rPr>
                <w:sz w:val="24"/>
              </w:rPr>
              <w:t>运输扬尘</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97"/>
              <w:ind w:left="274" w:right="242"/>
              <w:jc w:val="center"/>
              <w:rPr>
                <w:rFonts w:ascii="Times New Roman"/>
                <w:sz w:val="24"/>
              </w:rPr>
            </w:pPr>
            <w:r>
              <w:rPr>
                <w:rFonts w:ascii="Times New Roman"/>
                <w:sz w:val="24"/>
              </w:rPr>
              <w:t>0.0009 t/a</w:t>
            </w:r>
          </w:p>
        </w:tc>
        <w:tc>
          <w:tcPr>
            <w:tcW w:w="2625" w:type="dxa"/>
            <w:tcBorders>
              <w:top w:val="single" w:sz="4" w:space="0" w:color="000000"/>
              <w:left w:val="single" w:sz="4" w:space="0" w:color="000000"/>
              <w:bottom w:val="single" w:sz="4" w:space="0" w:color="000000"/>
            </w:tcBorders>
          </w:tcPr>
          <w:p>
            <w:pPr>
              <w:pStyle w:val="TableParagraph"/>
              <w:spacing w:before="97"/>
              <w:ind w:left="321" w:right="282"/>
              <w:jc w:val="center"/>
              <w:rPr>
                <w:rFonts w:ascii="Times New Roman"/>
                <w:sz w:val="24"/>
              </w:rPr>
            </w:pPr>
            <w:r>
              <w:rPr>
                <w:rFonts w:ascii="Times New Roman"/>
                <w:sz w:val="24"/>
              </w:rPr>
              <w:t>0.0002t/a</w:t>
            </w:r>
          </w:p>
        </w:tc>
      </w:tr>
      <w:tr>
        <w:trPr>
          <w:trHeight w:val="3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61"/>
              <w:ind w:left="331" w:right="306"/>
              <w:jc w:val="center"/>
              <w:rPr>
                <w:sz w:val="21"/>
              </w:rPr>
            </w:pPr>
            <w:r>
              <w:rPr>
                <w:sz w:val="21"/>
              </w:rPr>
              <w:t>表土场</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before="109"/>
              <w:ind w:left="272" w:right="242"/>
              <w:jc w:val="center"/>
              <w:rPr>
                <w:rFonts w:ascii="Times New Roman" w:eastAsia="Times New Roman"/>
                <w:sz w:val="13"/>
              </w:rPr>
            </w:pPr>
            <w:r>
              <w:rPr>
                <w:sz w:val="21"/>
              </w:rPr>
              <w:t>＞</w:t>
            </w:r>
            <w:r>
              <w:rPr>
                <w:rFonts w:ascii="Times New Roman" w:eastAsia="Times New Roman"/>
                <w:sz w:val="21"/>
              </w:rPr>
              <w:t>1.0 mg/m</w:t>
            </w:r>
            <w:r>
              <w:rPr>
                <w:rFonts w:ascii="Times New Roman" w:eastAsia="Times New Roman"/>
                <w:position w:val="7"/>
                <w:sz w:val="13"/>
              </w:rPr>
              <w:t>3</w:t>
            </w:r>
          </w:p>
        </w:tc>
        <w:tc>
          <w:tcPr>
            <w:tcW w:w="2625" w:type="dxa"/>
            <w:tcBorders>
              <w:top w:val="single" w:sz="4" w:space="0" w:color="000000"/>
              <w:left w:val="single" w:sz="4" w:space="0" w:color="000000"/>
              <w:bottom w:val="single" w:sz="4" w:space="0" w:color="000000"/>
            </w:tcBorders>
          </w:tcPr>
          <w:p>
            <w:pPr>
              <w:pStyle w:val="TableParagraph"/>
              <w:spacing w:line="266" w:lineRule="exact" w:before="109"/>
              <w:ind w:left="321" w:right="282"/>
              <w:jc w:val="center"/>
              <w:rPr>
                <w:rFonts w:ascii="Times New Roman" w:eastAsia="Times New Roman"/>
                <w:sz w:val="13"/>
              </w:rPr>
            </w:pPr>
            <w:r>
              <w:rPr>
                <w:sz w:val="21"/>
              </w:rPr>
              <w:t>＜</w:t>
            </w:r>
            <w:r>
              <w:rPr>
                <w:rFonts w:ascii="Times New Roman" w:eastAsia="Times New Roman"/>
                <w:sz w:val="21"/>
              </w:rPr>
              <w:t>1.0 mg/m</w:t>
            </w:r>
            <w:r>
              <w:rPr>
                <w:rFonts w:ascii="Times New Roman" w:eastAsia="Times New Roman"/>
                <w:position w:val="7"/>
                <w:sz w:val="13"/>
              </w:rPr>
              <w:t>3</w:t>
            </w:r>
          </w:p>
        </w:tc>
      </w:tr>
      <w:tr>
        <w:trPr>
          <w:trHeight w:val="10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30"/>
              </w:rPr>
            </w:pPr>
          </w:p>
          <w:p>
            <w:pPr>
              <w:pStyle w:val="TableParagraph"/>
              <w:spacing w:before="1"/>
              <w:ind w:left="336" w:right="306"/>
              <w:jc w:val="center"/>
              <w:rPr>
                <w:sz w:val="24"/>
              </w:rPr>
            </w:pPr>
            <w:r>
              <w:rPr>
                <w:sz w:val="24"/>
              </w:rPr>
              <w:t>机械废气</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黑体"/>
                <w:sz w:val="18"/>
              </w:rPr>
            </w:pPr>
          </w:p>
          <w:p>
            <w:pPr>
              <w:pStyle w:val="TableParagraph"/>
              <w:ind w:left="117" w:right="-15"/>
              <w:jc w:val="center"/>
              <w:rPr>
                <w:sz w:val="24"/>
              </w:rPr>
            </w:pPr>
            <w:r>
              <w:rPr>
                <w:rFonts w:ascii="Times New Roman" w:eastAsia="Times New Roman"/>
                <w:spacing w:val="-1"/>
                <w:position w:val="2"/>
                <w:sz w:val="24"/>
              </w:rPr>
              <w:t>NO</w:t>
            </w:r>
            <w:r>
              <w:rPr>
                <w:rFonts w:ascii="Times New Roman" w:eastAsia="Times New Roman"/>
                <w:spacing w:val="-1"/>
                <w:position w:val="2"/>
                <w:sz w:val="24"/>
                <w:vertAlign w:val="subscript"/>
              </w:rPr>
              <w:t>X</w:t>
            </w:r>
            <w:r>
              <w:rPr>
                <w:position w:val="2"/>
                <w:sz w:val="24"/>
                <w:vertAlign w:val="baseline"/>
              </w:rPr>
              <w:t>、</w:t>
            </w:r>
            <w:r>
              <w:rPr>
                <w:rFonts w:ascii="Times New Roman" w:eastAsia="Times New Roman"/>
                <w:position w:val="2"/>
                <w:sz w:val="24"/>
                <w:vertAlign w:val="baseline"/>
              </w:rPr>
              <w:t>THC</w:t>
            </w:r>
            <w:r>
              <w:rPr>
                <w:position w:val="2"/>
                <w:sz w:val="24"/>
                <w:vertAlign w:val="baseline"/>
              </w:rPr>
              <w:t>、</w:t>
            </w:r>
          </w:p>
          <w:p>
            <w:pPr>
              <w:pStyle w:val="TableParagraph"/>
              <w:spacing w:before="3"/>
              <w:ind w:left="117" w:right="91"/>
              <w:jc w:val="center"/>
              <w:rPr>
                <w:sz w:val="24"/>
              </w:rPr>
            </w:pPr>
            <w:r>
              <w:rPr>
                <w:rFonts w:ascii="Times New Roman" w:eastAsia="Times New Roman"/>
                <w:sz w:val="24"/>
              </w:rPr>
              <w:t>CO </w:t>
            </w:r>
            <w:r>
              <w:rPr>
                <w:sz w:val="24"/>
              </w:rPr>
              <w:t>等</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7"/>
              </w:rPr>
            </w:pPr>
          </w:p>
          <w:p>
            <w:pPr>
              <w:pStyle w:val="TableParagraph"/>
              <w:spacing w:line="312" w:lineRule="auto"/>
              <w:ind w:left="251" w:right="102" w:hanging="120"/>
              <w:rPr>
                <w:sz w:val="24"/>
              </w:rPr>
            </w:pPr>
            <w:r>
              <w:rPr>
                <w:sz w:val="24"/>
              </w:rPr>
              <w:t>短时间、无组织、无规律、非连续稳定排放</w:t>
            </w:r>
          </w:p>
        </w:tc>
        <w:tc>
          <w:tcPr>
            <w:tcW w:w="2625" w:type="dxa"/>
            <w:tcBorders>
              <w:top w:val="single" w:sz="4" w:space="0" w:color="000000"/>
              <w:left w:val="single" w:sz="4" w:space="0" w:color="000000"/>
              <w:bottom w:val="single" w:sz="4" w:space="0" w:color="000000"/>
            </w:tcBorders>
          </w:tcPr>
          <w:p>
            <w:pPr>
              <w:pStyle w:val="TableParagraph"/>
              <w:spacing w:before="10"/>
              <w:rPr>
                <w:rFonts w:ascii="黑体"/>
                <w:sz w:val="17"/>
              </w:rPr>
            </w:pPr>
          </w:p>
          <w:p>
            <w:pPr>
              <w:pStyle w:val="TableParagraph"/>
              <w:spacing w:line="312" w:lineRule="auto"/>
              <w:ind w:left="240" w:right="82" w:hanging="120"/>
              <w:rPr>
                <w:sz w:val="24"/>
              </w:rPr>
            </w:pPr>
            <w:r>
              <w:rPr>
                <w:sz w:val="24"/>
              </w:rPr>
              <w:t>短时间、无组织、无规律、非连续稳定排放</w:t>
            </w:r>
          </w:p>
        </w:tc>
      </w:tr>
      <w:tr>
        <w:trPr>
          <w:trHeight w:val="1698" w:hRule="atLeast"/>
        </w:trPr>
        <w:tc>
          <w:tcPr>
            <w:tcW w:w="1173"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1"/>
              <w:rPr>
                <w:rFonts w:ascii="黑体"/>
                <w:sz w:val="18"/>
              </w:rPr>
            </w:pPr>
          </w:p>
          <w:p>
            <w:pPr>
              <w:pStyle w:val="TableParagraph"/>
              <w:spacing w:line="242" w:lineRule="auto"/>
              <w:ind w:left="345" w:right="325"/>
              <w:rPr>
                <w:b/>
                <w:sz w:val="24"/>
              </w:rPr>
            </w:pPr>
            <w:r>
              <w:rPr>
                <w:b/>
                <w:sz w:val="24"/>
              </w:rPr>
              <w:t>水污染物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3"/>
              <w:rPr>
                <w:rFonts w:ascii="黑体"/>
                <w:sz w:val="30"/>
              </w:rPr>
            </w:pPr>
          </w:p>
          <w:p>
            <w:pPr>
              <w:pStyle w:val="TableParagraph"/>
              <w:ind w:left="336" w:right="306"/>
              <w:jc w:val="center"/>
              <w:rPr>
                <w:sz w:val="24"/>
              </w:rPr>
            </w:pPr>
            <w:r>
              <w:rPr>
                <w:sz w:val="24"/>
              </w:rPr>
              <w:t>生活污水</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138"/>
              <w:ind w:left="444" w:right="413" w:firstLine="1"/>
              <w:jc w:val="center"/>
              <w:rPr>
                <w:rFonts w:ascii="Times New Roman" w:eastAsia="Times New Roman"/>
                <w:sz w:val="24"/>
              </w:rPr>
            </w:pPr>
            <w:r>
              <w:rPr>
                <w:sz w:val="24"/>
              </w:rPr>
              <w:t>污水</w:t>
            </w:r>
            <w:r>
              <w:rPr>
                <w:rFonts w:ascii="Times New Roman" w:eastAsia="Times New Roman"/>
                <w:sz w:val="24"/>
              </w:rPr>
              <w:t>COD </w:t>
            </w:r>
            <w:r>
              <w:rPr>
                <w:rFonts w:ascii="Times New Roman" w:eastAsia="Times New Roman"/>
                <w:position w:val="2"/>
                <w:sz w:val="24"/>
              </w:rPr>
              <w:t>BOD</w:t>
            </w:r>
            <w:r>
              <w:rPr>
                <w:rFonts w:ascii="Times New Roman" w:eastAsia="Times New Roman"/>
                <w:position w:val="2"/>
                <w:sz w:val="24"/>
                <w:vertAlign w:val="subscript"/>
              </w:rPr>
              <w:t>5</w:t>
            </w:r>
            <w:r>
              <w:rPr>
                <w:rFonts w:ascii="Times New Roman" w:eastAsia="Times New Roman"/>
                <w:position w:val="2"/>
                <w:sz w:val="24"/>
                <w:vertAlign w:val="baseline"/>
              </w:rPr>
              <w:t> </w:t>
            </w:r>
            <w:r>
              <w:rPr>
                <w:rFonts w:ascii="Times New Roman" w:eastAsia="Times New Roman"/>
                <w:sz w:val="24"/>
                <w:vertAlign w:val="baseline"/>
              </w:rPr>
              <w:t>SS </w:t>
            </w:r>
            <w:r>
              <w:rPr>
                <w:rFonts w:ascii="Times New Roman" w:eastAsia="Times New Roman"/>
                <w:spacing w:val="-2"/>
                <w:position w:val="2"/>
                <w:sz w:val="24"/>
                <w:vertAlign w:val="baseline"/>
              </w:rPr>
              <w:t>NH</w:t>
            </w:r>
            <w:r>
              <w:rPr>
                <w:rFonts w:ascii="Times New Roman" w:eastAsia="Times New Roman"/>
                <w:spacing w:val="-2"/>
                <w:position w:val="2"/>
                <w:sz w:val="24"/>
                <w:vertAlign w:val="subscript"/>
              </w:rPr>
              <w:t>3</w:t>
            </w:r>
            <w:r>
              <w:rPr>
                <w:rFonts w:ascii="Times New Roman" w:eastAsia="Times New Roman"/>
                <w:spacing w:val="-2"/>
                <w:position w:val="2"/>
                <w:sz w:val="24"/>
                <w:vertAlign w:val="baseline"/>
              </w:rPr>
              <w:t>-N</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before="150"/>
              <w:ind w:left="271" w:right="242"/>
              <w:jc w:val="center"/>
              <w:rPr>
                <w:rFonts w:ascii="Times New Roman"/>
                <w:sz w:val="24"/>
              </w:rPr>
            </w:pPr>
            <w:r>
              <w:rPr>
                <w:rFonts w:ascii="Times New Roman"/>
                <w:sz w:val="24"/>
              </w:rPr>
              <w:t>20.16t/a</w:t>
            </w:r>
          </w:p>
          <w:p>
            <w:pPr>
              <w:pStyle w:val="TableParagraph"/>
              <w:spacing w:line="287" w:lineRule="exact"/>
              <w:ind w:left="274" w:right="242"/>
              <w:jc w:val="center"/>
              <w:rPr>
                <w:rFonts w:ascii="Times New Roman" w:eastAsia="Times New Roman"/>
                <w:sz w:val="24"/>
              </w:rPr>
            </w:pPr>
            <w:r>
              <w:rPr>
                <w:rFonts w:ascii="Times New Roman" w:eastAsia="Times New Roman"/>
                <w:spacing w:val="-1"/>
                <w:sz w:val="24"/>
              </w:rPr>
              <w:t>300mg/L</w:t>
            </w:r>
            <w:r>
              <w:rPr>
                <w:sz w:val="24"/>
              </w:rPr>
              <w:t>、</w:t>
            </w:r>
            <w:r>
              <w:rPr>
                <w:rFonts w:ascii="Times New Roman" w:eastAsia="Times New Roman"/>
                <w:sz w:val="24"/>
              </w:rPr>
              <w:t>0.006t/a</w:t>
            </w:r>
          </w:p>
          <w:p>
            <w:pPr>
              <w:pStyle w:val="TableParagraph"/>
              <w:spacing w:line="280" w:lineRule="exact"/>
              <w:ind w:left="274" w:right="242"/>
              <w:jc w:val="center"/>
              <w:rPr>
                <w:rFonts w:ascii="Times New Roman" w:eastAsia="Times New Roman"/>
                <w:sz w:val="24"/>
              </w:rPr>
            </w:pPr>
            <w:r>
              <w:rPr>
                <w:rFonts w:ascii="Times New Roman" w:eastAsia="Times New Roman"/>
                <w:spacing w:val="-1"/>
                <w:sz w:val="24"/>
              </w:rPr>
              <w:t>150mg/L</w:t>
            </w:r>
            <w:r>
              <w:rPr>
                <w:sz w:val="24"/>
              </w:rPr>
              <w:t>、</w:t>
            </w:r>
            <w:r>
              <w:rPr>
                <w:rFonts w:ascii="Times New Roman" w:eastAsia="Times New Roman"/>
                <w:sz w:val="24"/>
              </w:rPr>
              <w:t>0.003t/a</w:t>
            </w:r>
          </w:p>
          <w:p>
            <w:pPr>
              <w:pStyle w:val="TableParagraph"/>
              <w:spacing w:line="281" w:lineRule="exact"/>
              <w:ind w:left="274" w:right="242"/>
              <w:jc w:val="center"/>
              <w:rPr>
                <w:rFonts w:ascii="Times New Roman" w:eastAsia="Times New Roman"/>
                <w:sz w:val="24"/>
              </w:rPr>
            </w:pPr>
            <w:r>
              <w:rPr>
                <w:rFonts w:ascii="Times New Roman" w:eastAsia="Times New Roman"/>
                <w:spacing w:val="-1"/>
                <w:sz w:val="24"/>
              </w:rPr>
              <w:t>250mg/L</w:t>
            </w:r>
            <w:r>
              <w:rPr>
                <w:sz w:val="24"/>
              </w:rPr>
              <w:t>、</w:t>
            </w:r>
            <w:r>
              <w:rPr>
                <w:rFonts w:ascii="Times New Roman" w:eastAsia="Times New Roman"/>
                <w:sz w:val="24"/>
              </w:rPr>
              <w:t>0.005t/a</w:t>
            </w:r>
          </w:p>
          <w:p>
            <w:pPr>
              <w:pStyle w:val="TableParagraph"/>
              <w:spacing w:line="294" w:lineRule="exact"/>
              <w:ind w:left="274" w:right="242"/>
              <w:jc w:val="center"/>
              <w:rPr>
                <w:rFonts w:ascii="Times New Roman" w:eastAsia="Times New Roman"/>
                <w:sz w:val="24"/>
              </w:rPr>
            </w:pPr>
            <w:r>
              <w:rPr>
                <w:rFonts w:ascii="Times New Roman" w:eastAsia="Times New Roman"/>
                <w:sz w:val="24"/>
              </w:rPr>
              <w:t>30.0mg/L</w:t>
            </w:r>
            <w:r>
              <w:rPr>
                <w:sz w:val="24"/>
              </w:rPr>
              <w:t>、</w:t>
            </w:r>
            <w:r>
              <w:rPr>
                <w:rFonts w:ascii="Times New Roman" w:eastAsia="Times New Roman"/>
                <w:sz w:val="24"/>
              </w:rPr>
              <w:t>0.0006t/a</w:t>
            </w:r>
          </w:p>
        </w:tc>
        <w:tc>
          <w:tcPr>
            <w:tcW w:w="2625" w:type="dxa"/>
            <w:tcBorders>
              <w:top w:val="single" w:sz="4" w:space="0" w:color="000000"/>
              <w:left w:val="single" w:sz="4" w:space="0" w:color="000000"/>
              <w:bottom w:val="single" w:sz="4" w:space="0" w:color="000000"/>
            </w:tcBorders>
          </w:tcPr>
          <w:p>
            <w:pPr>
              <w:pStyle w:val="TableParagraph"/>
              <w:rPr>
                <w:rFonts w:ascii="黑体"/>
                <w:sz w:val="24"/>
              </w:rPr>
            </w:pPr>
          </w:p>
          <w:p>
            <w:pPr>
              <w:pStyle w:val="TableParagraph"/>
              <w:spacing w:before="11"/>
              <w:rPr>
                <w:rFonts w:ascii="黑体"/>
                <w:sz w:val="20"/>
              </w:rPr>
            </w:pPr>
          </w:p>
          <w:p>
            <w:pPr>
              <w:pStyle w:val="TableParagraph"/>
              <w:spacing w:line="218" w:lineRule="auto" w:before="1"/>
              <w:ind w:left="720" w:right="202" w:hanging="480"/>
              <w:rPr>
                <w:sz w:val="24"/>
              </w:rPr>
            </w:pPr>
            <w:r>
              <w:rPr>
                <w:sz w:val="24"/>
              </w:rPr>
              <w:t>处理后用于农林地施肥，不外排</w:t>
            </w:r>
          </w:p>
        </w:tc>
      </w:tr>
      <w:tr>
        <w:trPr>
          <w:trHeight w:val="586" w:hRule="atLeast"/>
        </w:trPr>
        <w:tc>
          <w:tcPr>
            <w:tcW w:w="1173" w:type="dxa"/>
            <w:vMerge w:val="restart"/>
            <w:tcBorders>
              <w:top w:val="single" w:sz="4" w:space="0" w:color="000000"/>
              <w:bottom w:val="single" w:sz="4" w:space="0" w:color="000000"/>
              <w:right w:val="single" w:sz="4" w:space="0" w:color="000000"/>
            </w:tcBorders>
          </w:tcPr>
          <w:p>
            <w:pPr>
              <w:pStyle w:val="TableParagraph"/>
              <w:rPr>
                <w:rFonts w:ascii="黑体"/>
                <w:sz w:val="22"/>
              </w:rPr>
            </w:pPr>
          </w:p>
          <w:p>
            <w:pPr>
              <w:pStyle w:val="TableParagraph"/>
              <w:spacing w:line="242" w:lineRule="auto"/>
              <w:ind w:left="345" w:right="325"/>
              <w:rPr>
                <w:b/>
                <w:sz w:val="24"/>
              </w:rPr>
            </w:pPr>
            <w:r>
              <w:rPr>
                <w:b/>
                <w:sz w:val="24"/>
              </w:rPr>
              <w:t>固体废物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141"/>
              <w:ind w:left="336" w:right="306"/>
              <w:jc w:val="center"/>
              <w:rPr>
                <w:sz w:val="24"/>
              </w:rPr>
            </w:pPr>
            <w:r>
              <w:rPr>
                <w:sz w:val="24"/>
              </w:rPr>
              <w:t>职工</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141"/>
              <w:ind w:left="117" w:right="87"/>
              <w:jc w:val="center"/>
              <w:rPr>
                <w:sz w:val="24"/>
              </w:rPr>
            </w:pPr>
            <w:r>
              <w:rPr>
                <w:sz w:val="24"/>
              </w:rPr>
              <w:t>生活垃圾</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54"/>
              <w:ind w:left="271" w:right="242"/>
              <w:jc w:val="center"/>
              <w:rPr>
                <w:rFonts w:ascii="Times New Roman"/>
                <w:sz w:val="24"/>
              </w:rPr>
            </w:pPr>
            <w:r>
              <w:rPr>
                <w:rFonts w:ascii="Times New Roman"/>
                <w:sz w:val="24"/>
              </w:rPr>
              <w:t>0.21t/a</w:t>
            </w:r>
          </w:p>
        </w:tc>
        <w:tc>
          <w:tcPr>
            <w:tcW w:w="2625" w:type="dxa"/>
            <w:tcBorders>
              <w:top w:val="single" w:sz="4" w:space="0" w:color="000000"/>
              <w:left w:val="single" w:sz="4" w:space="0" w:color="000000"/>
              <w:bottom w:val="single" w:sz="4" w:space="0" w:color="000000"/>
            </w:tcBorders>
          </w:tcPr>
          <w:p>
            <w:pPr>
              <w:pStyle w:val="TableParagraph"/>
              <w:spacing w:before="141"/>
              <w:ind w:left="317" w:right="282"/>
              <w:jc w:val="center"/>
              <w:rPr>
                <w:sz w:val="24"/>
              </w:rPr>
            </w:pPr>
            <w:r>
              <w:rPr>
                <w:sz w:val="24"/>
              </w:rPr>
              <w:t>全部处理</w:t>
            </w:r>
          </w:p>
        </w:tc>
      </w:tr>
      <w:tr>
        <w:trPr>
          <w:trHeight w:val="586"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140"/>
              <w:ind w:left="336" w:right="306"/>
              <w:jc w:val="center"/>
              <w:rPr>
                <w:sz w:val="24"/>
              </w:rPr>
            </w:pPr>
            <w:r>
              <w:rPr>
                <w:sz w:val="24"/>
              </w:rPr>
              <w:t>开采区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140"/>
              <w:ind w:left="117" w:right="87"/>
              <w:jc w:val="center"/>
              <w:rPr>
                <w:sz w:val="24"/>
              </w:rPr>
            </w:pPr>
            <w:r>
              <w:rPr>
                <w:sz w:val="24"/>
              </w:rPr>
              <w:t>剥离表土</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56"/>
              <w:ind w:left="269" w:right="242"/>
              <w:jc w:val="center"/>
              <w:rPr>
                <w:rFonts w:ascii="Times New Roman"/>
                <w:sz w:val="15"/>
              </w:rPr>
            </w:pPr>
            <w:r>
              <w:rPr>
                <w:rFonts w:ascii="Times New Roman"/>
                <w:sz w:val="24"/>
              </w:rPr>
              <w:t>1400m</w:t>
            </w:r>
            <w:r>
              <w:rPr>
                <w:rFonts w:ascii="Times New Roman"/>
                <w:position w:val="8"/>
                <w:sz w:val="15"/>
              </w:rPr>
              <w:t>3</w:t>
            </w:r>
          </w:p>
        </w:tc>
        <w:tc>
          <w:tcPr>
            <w:tcW w:w="2625" w:type="dxa"/>
            <w:tcBorders>
              <w:top w:val="single" w:sz="4" w:space="0" w:color="000000"/>
              <w:left w:val="single" w:sz="4" w:space="0" w:color="000000"/>
              <w:bottom w:val="single" w:sz="4" w:space="0" w:color="000000"/>
            </w:tcBorders>
          </w:tcPr>
          <w:p>
            <w:pPr>
              <w:pStyle w:val="TableParagraph"/>
              <w:spacing w:before="140"/>
              <w:ind w:left="317" w:right="282"/>
              <w:jc w:val="center"/>
              <w:rPr>
                <w:sz w:val="24"/>
              </w:rPr>
            </w:pPr>
            <w:r>
              <w:rPr>
                <w:sz w:val="24"/>
              </w:rPr>
              <w:t>表土场堆放</w:t>
            </w:r>
          </w:p>
        </w:tc>
      </w:tr>
      <w:tr>
        <w:trPr>
          <w:trHeight w:val="720" w:hRule="atLeast"/>
        </w:trPr>
        <w:tc>
          <w:tcPr>
            <w:tcW w:w="1173" w:type="dxa"/>
            <w:tcBorders>
              <w:top w:val="single" w:sz="4" w:space="0" w:color="000000"/>
              <w:bottom w:val="single" w:sz="4" w:space="0" w:color="000000"/>
              <w:right w:val="single" w:sz="4" w:space="0" w:color="000000"/>
            </w:tcBorders>
          </w:tcPr>
          <w:p>
            <w:pPr>
              <w:pStyle w:val="TableParagraph"/>
              <w:spacing w:before="206"/>
              <w:ind w:left="405"/>
              <w:rPr>
                <w:b/>
                <w:sz w:val="24"/>
              </w:rPr>
            </w:pPr>
            <w:r>
              <w:rPr>
                <w:b/>
                <w:sz w:val="24"/>
              </w:rPr>
              <w:t>噪声</w:t>
            </w:r>
          </w:p>
        </w:tc>
        <w:tc>
          <w:tcPr>
            <w:tcW w:w="8467" w:type="dxa"/>
            <w:gridSpan w:val="4"/>
            <w:tcBorders>
              <w:top w:val="single" w:sz="4" w:space="0" w:color="000000"/>
              <w:left w:val="single" w:sz="4" w:space="0" w:color="000000"/>
              <w:bottom w:val="single" w:sz="4" w:space="0" w:color="000000"/>
            </w:tcBorders>
          </w:tcPr>
          <w:p>
            <w:pPr>
              <w:pStyle w:val="TableParagraph"/>
              <w:spacing w:line="360" w:lineRule="exact"/>
              <w:ind w:left="118" w:right="77" w:firstLine="480"/>
              <w:rPr>
                <w:sz w:val="24"/>
              </w:rPr>
            </w:pPr>
            <w:r>
              <w:rPr>
                <w:spacing w:val="-6"/>
                <w:sz w:val="24"/>
              </w:rPr>
              <w:t>挖掘机在运行中产生机械噪声，噪声值为 </w:t>
            </w:r>
            <w:r>
              <w:rPr>
                <w:rFonts w:ascii="Times New Roman" w:eastAsia="Times New Roman"/>
                <w:sz w:val="24"/>
              </w:rPr>
              <w:t>90d</w:t>
            </w:r>
            <w:r>
              <w:rPr>
                <w:rFonts w:ascii="Times New Roman" w:eastAsia="Times New Roman"/>
                <w:spacing w:val="-21"/>
                <w:sz w:val="24"/>
              </w:rPr>
              <w:t>B</w:t>
            </w:r>
            <w:r>
              <w:rPr>
                <w:sz w:val="24"/>
              </w:rPr>
              <w:t>（</w:t>
            </w:r>
            <w:r>
              <w:rPr>
                <w:rFonts w:ascii="Times New Roman" w:eastAsia="Times New Roman"/>
                <w:spacing w:val="-1"/>
                <w:sz w:val="24"/>
              </w:rPr>
              <w:t>A</w:t>
            </w:r>
            <w:r>
              <w:rPr>
                <w:spacing w:val="-120"/>
                <w:sz w:val="24"/>
              </w:rPr>
              <w:t>）</w:t>
            </w:r>
            <w:r>
              <w:rPr>
                <w:spacing w:val="-7"/>
                <w:sz w:val="24"/>
              </w:rPr>
              <w:t>。对外环境和操作工人</w:t>
            </w:r>
            <w:r>
              <w:rPr>
                <w:sz w:val="24"/>
              </w:rPr>
              <w:t>有一定程度污染和影响。</w:t>
            </w:r>
          </w:p>
        </w:tc>
      </w:tr>
      <w:tr>
        <w:trPr>
          <w:trHeight w:val="6147" w:hRule="atLeast"/>
        </w:trPr>
        <w:tc>
          <w:tcPr>
            <w:tcW w:w="9640" w:type="dxa"/>
            <w:gridSpan w:val="5"/>
            <w:tcBorders>
              <w:top w:val="single" w:sz="4" w:space="0" w:color="000000"/>
            </w:tcBorders>
          </w:tcPr>
          <w:p>
            <w:pPr>
              <w:pStyle w:val="TableParagraph"/>
              <w:spacing w:before="81"/>
              <w:ind w:left="107"/>
              <w:rPr>
                <w:b/>
                <w:sz w:val="24"/>
              </w:rPr>
            </w:pPr>
            <w:r>
              <w:rPr>
                <w:b/>
                <w:sz w:val="24"/>
              </w:rPr>
              <w:t>主要生态影响</w:t>
            </w:r>
          </w:p>
          <w:p>
            <w:pPr>
              <w:pStyle w:val="TableParagraph"/>
              <w:spacing w:before="113"/>
              <w:ind w:left="587"/>
              <w:rPr>
                <w:sz w:val="24"/>
              </w:rPr>
            </w:pPr>
            <w:r>
              <w:rPr>
                <w:rFonts w:ascii="Times New Roman" w:eastAsia="Times New Roman"/>
                <w:sz w:val="24"/>
              </w:rPr>
              <w:t>1</w:t>
            </w:r>
            <w:r>
              <w:rPr>
                <w:sz w:val="24"/>
              </w:rPr>
              <w:t>、对土地利用现状的影响</w:t>
            </w:r>
          </w:p>
          <w:p>
            <w:pPr>
              <w:pStyle w:val="TableParagraph"/>
              <w:spacing w:line="312" w:lineRule="auto" w:before="81"/>
              <w:ind w:left="107" w:right="140" w:firstLine="480"/>
              <w:jc w:val="both"/>
              <w:rPr>
                <w:sz w:val="24"/>
              </w:rPr>
            </w:pPr>
            <w:r>
              <w:rPr>
                <w:sz w:val="24"/>
              </w:rPr>
              <w:t>该项目属小规模露天开采项目，征占土地面积较小，项目建设区实际占地范围内的土地主要为荒坡地。矿山开采过程扰动了原地貌形态，损坏了地表土结构和地面林草植被。经调查，项目占用植被主要是杂草，无成材林和经济林，对周边生态环境影响较小。实际造成损坏原生地貌植被的面积 </w:t>
            </w:r>
            <w:r>
              <w:rPr>
                <w:rFonts w:ascii="Times New Roman" w:eastAsia="Times New Roman"/>
                <w:sz w:val="24"/>
              </w:rPr>
              <w:t>0.0173km</w:t>
            </w:r>
            <w:r>
              <w:rPr>
                <w:rFonts w:ascii="Times New Roman" w:eastAsia="Times New Roman"/>
                <w:position w:val="8"/>
                <w:sz w:val="15"/>
              </w:rPr>
              <w:t>2</w:t>
            </w:r>
            <w:r>
              <w:rPr>
                <w:sz w:val="24"/>
              </w:rPr>
              <w:t>。</w:t>
            </w:r>
          </w:p>
          <w:p>
            <w:pPr>
              <w:pStyle w:val="TableParagraph"/>
              <w:spacing w:line="259" w:lineRule="exact"/>
              <w:ind w:left="587"/>
              <w:rPr>
                <w:sz w:val="24"/>
              </w:rPr>
            </w:pPr>
            <w:r>
              <w:rPr>
                <w:rFonts w:ascii="Times New Roman" w:eastAsia="Times New Roman"/>
                <w:sz w:val="24"/>
              </w:rPr>
              <w:t>2</w:t>
            </w:r>
            <w:r>
              <w:rPr>
                <w:sz w:val="24"/>
              </w:rPr>
              <w:t>、对植被的影响</w:t>
            </w:r>
          </w:p>
          <w:p>
            <w:pPr>
              <w:pStyle w:val="TableParagraph"/>
              <w:spacing w:line="266" w:lineRule="auto" w:before="33"/>
              <w:ind w:left="107" w:right="75" w:firstLine="480"/>
              <w:jc w:val="both"/>
              <w:rPr>
                <w:sz w:val="24"/>
              </w:rPr>
            </w:pPr>
            <w:r>
              <w:rPr>
                <w:sz w:val="24"/>
              </w:rPr>
              <w:t>该项目实施后，所占土地上原有的地表植被将被破坏，对区域内植被群落的分布影响较大。矿山在运行过程中，将采取局部绿化及评价建议的植物措施，分期分区将采场进行平整覆土，使其能够满足植被正常生长的需要；辅助生产区待闭矿后拆除地面建筑设施并植树、种草，工业用地将转变为草地。服务期满后，通过植物、绿化等措施，植被覆盖率上升至原来现状情况。</w:t>
            </w:r>
          </w:p>
          <w:p>
            <w:pPr>
              <w:pStyle w:val="TableParagraph"/>
              <w:spacing w:line="300" w:lineRule="exact"/>
              <w:ind w:left="587"/>
              <w:rPr>
                <w:sz w:val="24"/>
              </w:rPr>
            </w:pPr>
            <w:r>
              <w:rPr>
                <w:rFonts w:ascii="Times New Roman" w:eastAsia="Times New Roman"/>
                <w:sz w:val="24"/>
              </w:rPr>
              <w:t>3</w:t>
            </w:r>
            <w:r>
              <w:rPr>
                <w:sz w:val="24"/>
              </w:rPr>
              <w:t>、对水土流失的影响分析</w:t>
            </w:r>
          </w:p>
          <w:p>
            <w:pPr>
              <w:pStyle w:val="TableParagraph"/>
              <w:spacing w:line="264" w:lineRule="auto" w:before="34"/>
              <w:ind w:left="107" w:right="75" w:firstLine="480"/>
              <w:jc w:val="both"/>
              <w:rPr>
                <w:sz w:val="24"/>
              </w:rPr>
            </w:pPr>
            <w:r>
              <w:rPr>
                <w:sz w:val="24"/>
              </w:rPr>
              <w:t>本工程水土流失的危害主要表现在受重力和水力侵蚀的影响，废土渣流入下游，对下游的环境造成影响，增加洪涝灾害发生的可能性。因此，必须采取水土保持措施，防止由于工程建设对水土流失的进一步加剧。针对不同情况采取相应的水土保持措施后，可大大</w:t>
            </w:r>
          </w:p>
          <w:p>
            <w:pPr>
              <w:pStyle w:val="TableParagraph"/>
              <w:spacing w:line="286" w:lineRule="exact" w:before="5"/>
              <w:ind w:left="107"/>
              <w:rPr>
                <w:sz w:val="24"/>
              </w:rPr>
            </w:pPr>
            <w:r>
              <w:rPr>
                <w:sz w:val="24"/>
              </w:rPr>
              <w:t>减少水土流失量。</w:t>
            </w:r>
          </w:p>
        </w:tc>
      </w:tr>
    </w:tbl>
    <w:p>
      <w:pPr>
        <w:rPr>
          <w:sz w:val="2"/>
          <w:szCs w:val="2"/>
        </w:rPr>
      </w:pPr>
      <w:r>
        <w:rPr/>
        <w:pict>
          <v:line style="position:absolute;mso-position-horizontal-relative:page;mso-position-vertical-relative:page;z-index:-256970752" from="60.150002pt,63.750011pt" to="118.050002pt,110.800011pt" stroked="true" strokeweight="1.5pt" strokecolor="#000000">
            <v:stroke dashstyle="solid"/>
            <w10:wrap type="none"/>
          </v:line>
        </w:pict>
      </w:r>
    </w:p>
    <w:p>
      <w:pPr>
        <w:spacing w:after="0"/>
        <w:rPr>
          <w:sz w:val="2"/>
          <w:szCs w:val="2"/>
        </w:rPr>
        <w:sectPr>
          <w:footerReference w:type="default" r:id="rId11"/>
          <w:pgSz w:w="11910" w:h="16840"/>
          <w:pgMar w:footer="770" w:header="0" w:top="1220" w:bottom="960" w:left="1020" w:right="880"/>
          <w:pgNumType w:start="20"/>
        </w:sectPr>
      </w:pPr>
    </w:p>
    <w:p>
      <w:pPr>
        <w:pStyle w:val="Heading1"/>
        <w:numPr>
          <w:ilvl w:val="0"/>
          <w:numId w:val="2"/>
        </w:numPr>
        <w:tabs>
          <w:tab w:pos="437" w:val="left" w:leader="none"/>
        </w:tabs>
        <w:spacing w:line="240" w:lineRule="auto" w:before="56" w:after="33"/>
        <w:ind w:left="436" w:right="0" w:hanging="210"/>
        <w:jc w:val="left"/>
      </w:pPr>
      <w:r>
        <w:rPr/>
        <w:pict>
          <v:shape style="position:absolute;margin-left:75.629997pt;margin-top:370.350006pt;width:451.95pt;height:35.65pt;mso-position-horizontal-relative:page;mso-position-vertical-relative:page;z-index:25168179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2"/>
                    <w:gridCol w:w="1500"/>
                    <w:gridCol w:w="1648"/>
                    <w:gridCol w:w="4655"/>
                  </w:tblGrid>
                  <w:tr>
                    <w:trPr>
                      <w:trHeight w:val="312" w:hRule="atLeast"/>
                    </w:trPr>
                    <w:tc>
                      <w:tcPr>
                        <w:tcW w:w="1192" w:type="dxa"/>
                        <w:tcBorders>
                          <w:left w:val="nil"/>
                          <w:right w:val="single" w:sz="4" w:space="0" w:color="000000"/>
                        </w:tcBorders>
                      </w:tcPr>
                      <w:p>
                        <w:pPr>
                          <w:pStyle w:val="TableParagraph"/>
                          <w:spacing w:before="22"/>
                          <w:ind w:left="170" w:right="137"/>
                          <w:jc w:val="center"/>
                          <w:rPr>
                            <w:sz w:val="21"/>
                          </w:rPr>
                        </w:pPr>
                        <w:r>
                          <w:rPr>
                            <w:sz w:val="21"/>
                          </w:rPr>
                          <w:t>评价因子</w:t>
                        </w:r>
                      </w:p>
                    </w:tc>
                    <w:tc>
                      <w:tcPr>
                        <w:tcW w:w="1500" w:type="dxa"/>
                        <w:tcBorders>
                          <w:left w:val="single" w:sz="4" w:space="0" w:color="000000"/>
                          <w:right w:val="single" w:sz="4" w:space="0" w:color="000000"/>
                        </w:tcBorders>
                      </w:tcPr>
                      <w:p>
                        <w:pPr>
                          <w:pStyle w:val="TableParagraph"/>
                          <w:spacing w:before="22"/>
                          <w:ind w:left="184" w:right="160"/>
                          <w:jc w:val="center"/>
                          <w:rPr>
                            <w:sz w:val="21"/>
                          </w:rPr>
                        </w:pPr>
                        <w:r>
                          <w:rPr>
                            <w:sz w:val="21"/>
                          </w:rPr>
                          <w:t>平均时段</w:t>
                        </w:r>
                      </w:p>
                    </w:tc>
                    <w:tc>
                      <w:tcPr>
                        <w:tcW w:w="1648" w:type="dxa"/>
                        <w:tcBorders>
                          <w:left w:val="single" w:sz="4" w:space="0" w:color="000000"/>
                          <w:right w:val="single" w:sz="4" w:space="0" w:color="000000"/>
                        </w:tcBorders>
                      </w:tcPr>
                      <w:p>
                        <w:pPr>
                          <w:pStyle w:val="TableParagraph"/>
                          <w:spacing w:before="22"/>
                          <w:ind w:left="117" w:right="-29"/>
                          <w:jc w:val="center"/>
                          <w:rPr>
                            <w:sz w:val="21"/>
                          </w:rPr>
                        </w:pPr>
                        <w:r>
                          <w:rPr>
                            <w:spacing w:val="-7"/>
                            <w:sz w:val="21"/>
                          </w:rPr>
                          <w:t>标准值</w:t>
                        </w:r>
                        <w:r>
                          <w:rPr>
                            <w:sz w:val="21"/>
                          </w:rPr>
                          <w:t>（</w:t>
                        </w:r>
                        <w:r>
                          <w:rPr>
                            <w:rFonts w:ascii="Times New Roman" w:hAnsi="Times New Roman" w:eastAsia="Times New Roman"/>
                            <w:sz w:val="21"/>
                          </w:rPr>
                          <w:t>μg/m</w:t>
                        </w:r>
                        <w:r>
                          <w:rPr>
                            <w:rFonts w:ascii="Times New Roman" w:hAnsi="Times New Roman" w:eastAsia="Times New Roman"/>
                            <w:position w:val="7"/>
                            <w:sz w:val="13"/>
                          </w:rPr>
                          <w:t>3</w:t>
                        </w:r>
                        <w:r>
                          <w:rPr>
                            <w:sz w:val="21"/>
                          </w:rPr>
                          <w:t>）</w:t>
                        </w:r>
                      </w:p>
                    </w:tc>
                    <w:tc>
                      <w:tcPr>
                        <w:tcW w:w="4655" w:type="dxa"/>
                        <w:tcBorders>
                          <w:left w:val="single" w:sz="4" w:space="0" w:color="000000"/>
                          <w:right w:val="nil"/>
                        </w:tcBorders>
                      </w:tcPr>
                      <w:p>
                        <w:pPr>
                          <w:pStyle w:val="TableParagraph"/>
                          <w:spacing w:before="22"/>
                          <w:ind w:left="31" w:right="12"/>
                          <w:jc w:val="center"/>
                          <w:rPr>
                            <w:sz w:val="21"/>
                          </w:rPr>
                        </w:pPr>
                        <w:r>
                          <w:rPr>
                            <w:sz w:val="21"/>
                          </w:rPr>
                          <w:t>标准来源</w:t>
                        </w:r>
                      </w:p>
                    </w:tc>
                  </w:tr>
                  <w:tr>
                    <w:trPr>
                      <w:trHeight w:val="311" w:hRule="atLeast"/>
                    </w:trPr>
                    <w:tc>
                      <w:tcPr>
                        <w:tcW w:w="1192" w:type="dxa"/>
                        <w:tcBorders>
                          <w:left w:val="nil"/>
                          <w:right w:val="single" w:sz="4" w:space="0" w:color="000000"/>
                        </w:tcBorders>
                      </w:tcPr>
                      <w:p>
                        <w:pPr>
                          <w:pStyle w:val="TableParagraph"/>
                          <w:spacing w:before="21"/>
                          <w:ind w:left="168" w:right="137"/>
                          <w:jc w:val="center"/>
                          <w:rPr>
                            <w:sz w:val="21"/>
                          </w:rPr>
                        </w:pPr>
                        <w:r>
                          <w:rPr>
                            <w:sz w:val="21"/>
                          </w:rPr>
                          <w:t>颗粒物</w:t>
                        </w:r>
                      </w:p>
                    </w:tc>
                    <w:tc>
                      <w:tcPr>
                        <w:tcW w:w="1500" w:type="dxa"/>
                        <w:tcBorders>
                          <w:left w:val="single" w:sz="4" w:space="0" w:color="000000"/>
                          <w:right w:val="single" w:sz="4" w:space="0" w:color="000000"/>
                        </w:tcBorders>
                      </w:tcPr>
                      <w:p>
                        <w:pPr>
                          <w:pStyle w:val="TableParagraph"/>
                          <w:spacing w:before="21"/>
                          <w:ind w:left="186" w:right="160"/>
                          <w:jc w:val="center"/>
                          <w:rPr>
                            <w:sz w:val="21"/>
                          </w:rPr>
                        </w:pPr>
                        <w:r>
                          <w:rPr>
                            <w:rFonts w:ascii="Times New Roman" w:eastAsia="Times New Roman"/>
                            <w:sz w:val="21"/>
                          </w:rPr>
                          <w:t>24 </w:t>
                        </w:r>
                        <w:r>
                          <w:rPr>
                            <w:sz w:val="21"/>
                          </w:rPr>
                          <w:t>小时平均</w:t>
                        </w:r>
                      </w:p>
                    </w:tc>
                    <w:tc>
                      <w:tcPr>
                        <w:tcW w:w="1648" w:type="dxa"/>
                        <w:tcBorders>
                          <w:left w:val="single" w:sz="4" w:space="0" w:color="000000"/>
                          <w:right w:val="single" w:sz="4" w:space="0" w:color="000000"/>
                        </w:tcBorders>
                      </w:tcPr>
                      <w:p>
                        <w:pPr>
                          <w:pStyle w:val="TableParagraph"/>
                          <w:spacing w:before="35"/>
                          <w:ind w:left="117" w:right="91"/>
                          <w:jc w:val="center"/>
                          <w:rPr>
                            <w:rFonts w:ascii="Times New Roman"/>
                            <w:sz w:val="21"/>
                          </w:rPr>
                        </w:pPr>
                        <w:r>
                          <w:rPr>
                            <w:rFonts w:ascii="Times New Roman"/>
                            <w:sz w:val="21"/>
                          </w:rPr>
                          <w:t>300</w:t>
                        </w:r>
                      </w:p>
                    </w:tc>
                    <w:tc>
                      <w:tcPr>
                        <w:tcW w:w="4655" w:type="dxa"/>
                        <w:tcBorders>
                          <w:left w:val="single" w:sz="4" w:space="0" w:color="000000"/>
                          <w:right w:val="nil"/>
                        </w:tcBorders>
                      </w:tcPr>
                      <w:p>
                        <w:pPr>
                          <w:pStyle w:val="TableParagraph"/>
                          <w:spacing w:before="21"/>
                          <w:ind w:left="36" w:right="12"/>
                          <w:jc w:val="center"/>
                          <w:rPr>
                            <w:sz w:val="21"/>
                          </w:rPr>
                        </w:pPr>
                        <w:r>
                          <w:rPr>
                            <w:sz w:val="21"/>
                          </w:rPr>
                          <w:t>《环境空气质量标准》（</w:t>
                        </w:r>
                        <w:r>
                          <w:rPr>
                            <w:rFonts w:ascii="Times New Roman" w:eastAsia="Times New Roman"/>
                            <w:sz w:val="21"/>
                          </w:rPr>
                          <w:t>GB3095-2012</w:t>
                        </w:r>
                        <w:r>
                          <w:rPr>
                            <w:sz w:val="21"/>
                          </w:rPr>
                          <w:t>）二级标准</w:t>
                        </w:r>
                      </w:p>
                    </w:tc>
                  </w:tr>
                </w:tbl>
                <w:p>
                  <w:pPr>
                    <w:pStyle w:val="BodyText"/>
                  </w:pPr>
                </w:p>
              </w:txbxContent>
            </v:textbox>
            <w10:wrap type="none"/>
          </v:shape>
        </w:pict>
      </w:r>
      <w:r>
        <w:rPr/>
        <w:pict>
          <v:shape style="position:absolute;margin-left:81.180pt;margin-top:567.049988pt;width:440.85pt;height:35.65pt;mso-position-horizontal-relative:page;mso-position-vertical-relative:page;z-index:25168281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4"/>
                    <w:gridCol w:w="1470"/>
                    <w:gridCol w:w="936"/>
                    <w:gridCol w:w="1158"/>
                    <w:gridCol w:w="2110"/>
                    <w:gridCol w:w="1665"/>
                  </w:tblGrid>
                  <w:tr>
                    <w:trPr>
                      <w:trHeight w:val="312" w:hRule="atLeast"/>
                    </w:trPr>
                    <w:tc>
                      <w:tcPr>
                        <w:tcW w:w="1434" w:type="dxa"/>
                        <w:tcBorders>
                          <w:left w:val="nil"/>
                          <w:right w:val="single" w:sz="4" w:space="0" w:color="000000"/>
                        </w:tcBorders>
                      </w:tcPr>
                      <w:p>
                        <w:pPr>
                          <w:pStyle w:val="TableParagraph"/>
                          <w:spacing w:before="22"/>
                          <w:ind w:left="80" w:right="48"/>
                          <w:jc w:val="center"/>
                          <w:rPr>
                            <w:sz w:val="21"/>
                          </w:rPr>
                        </w:pPr>
                        <w:r>
                          <w:rPr>
                            <w:sz w:val="21"/>
                          </w:rPr>
                          <w:t>名称</w:t>
                        </w:r>
                      </w:p>
                    </w:tc>
                    <w:tc>
                      <w:tcPr>
                        <w:tcW w:w="1470" w:type="dxa"/>
                        <w:tcBorders>
                          <w:left w:val="single" w:sz="4" w:space="0" w:color="000000"/>
                          <w:right w:val="single" w:sz="4" w:space="0" w:color="000000"/>
                        </w:tcBorders>
                      </w:tcPr>
                      <w:p>
                        <w:pPr>
                          <w:pStyle w:val="TableParagraph"/>
                          <w:spacing w:before="22"/>
                          <w:ind w:left="62" w:right="38"/>
                          <w:jc w:val="center"/>
                          <w:rPr>
                            <w:rFonts w:ascii="Times New Roman" w:eastAsia="Times New Roman"/>
                            <w:sz w:val="21"/>
                          </w:rPr>
                        </w:pPr>
                        <w:r>
                          <w:rPr>
                            <w:sz w:val="21"/>
                          </w:rPr>
                          <w:t>排放速率 </w:t>
                        </w:r>
                        <w:r>
                          <w:rPr>
                            <w:rFonts w:ascii="Times New Roman" w:eastAsia="Times New Roman"/>
                            <w:sz w:val="21"/>
                          </w:rPr>
                          <w:t>kg/h</w:t>
                        </w:r>
                      </w:p>
                    </w:tc>
                    <w:tc>
                      <w:tcPr>
                        <w:tcW w:w="936" w:type="dxa"/>
                        <w:tcBorders>
                          <w:left w:val="single" w:sz="4" w:space="0" w:color="000000"/>
                          <w:right w:val="single" w:sz="4" w:space="0" w:color="000000"/>
                        </w:tcBorders>
                      </w:tcPr>
                      <w:p>
                        <w:pPr>
                          <w:pStyle w:val="TableParagraph"/>
                          <w:spacing w:before="22"/>
                          <w:ind w:left="58" w:right="33"/>
                          <w:jc w:val="center"/>
                          <w:rPr>
                            <w:rFonts w:ascii="Times New Roman" w:eastAsia="Times New Roman"/>
                            <w:sz w:val="21"/>
                          </w:rPr>
                        </w:pPr>
                        <w:r>
                          <w:rPr>
                            <w:sz w:val="21"/>
                          </w:rPr>
                          <w:t>面源长</w:t>
                        </w:r>
                        <w:r>
                          <w:rPr>
                            <w:rFonts w:ascii="Times New Roman" w:eastAsia="Times New Roman"/>
                            <w:sz w:val="21"/>
                          </w:rPr>
                          <w:t>m</w:t>
                        </w:r>
                      </w:p>
                    </w:tc>
                    <w:tc>
                      <w:tcPr>
                        <w:tcW w:w="1158" w:type="dxa"/>
                        <w:tcBorders>
                          <w:left w:val="single" w:sz="4" w:space="0" w:color="000000"/>
                          <w:right w:val="single" w:sz="4" w:space="0" w:color="000000"/>
                        </w:tcBorders>
                      </w:tcPr>
                      <w:p>
                        <w:pPr>
                          <w:pStyle w:val="TableParagraph"/>
                          <w:spacing w:before="22"/>
                          <w:ind w:left="117" w:right="91"/>
                          <w:jc w:val="center"/>
                          <w:rPr>
                            <w:rFonts w:ascii="Times New Roman" w:eastAsia="Times New Roman"/>
                            <w:sz w:val="21"/>
                          </w:rPr>
                        </w:pPr>
                        <w:r>
                          <w:rPr>
                            <w:sz w:val="21"/>
                          </w:rPr>
                          <w:t>面源宽 </w:t>
                        </w:r>
                        <w:r>
                          <w:rPr>
                            <w:rFonts w:ascii="Times New Roman" w:eastAsia="Times New Roman"/>
                            <w:sz w:val="21"/>
                          </w:rPr>
                          <w:t>m</w:t>
                        </w:r>
                      </w:p>
                    </w:tc>
                    <w:tc>
                      <w:tcPr>
                        <w:tcW w:w="2110" w:type="dxa"/>
                        <w:tcBorders>
                          <w:left w:val="single" w:sz="4" w:space="0" w:color="000000"/>
                          <w:right w:val="single" w:sz="4" w:space="0" w:color="000000"/>
                        </w:tcBorders>
                      </w:tcPr>
                      <w:p>
                        <w:pPr>
                          <w:pStyle w:val="TableParagraph"/>
                          <w:spacing w:before="22"/>
                          <w:ind w:left="69" w:right="42"/>
                          <w:jc w:val="center"/>
                          <w:rPr>
                            <w:rFonts w:ascii="Times New Roman" w:eastAsia="Times New Roman"/>
                            <w:sz w:val="21"/>
                          </w:rPr>
                        </w:pPr>
                        <w:r>
                          <w:rPr>
                            <w:sz w:val="21"/>
                          </w:rPr>
                          <w:t>面源有效排放高度 </w:t>
                        </w:r>
                        <w:r>
                          <w:rPr>
                            <w:rFonts w:ascii="Times New Roman" w:eastAsia="Times New Roman"/>
                            <w:sz w:val="21"/>
                          </w:rPr>
                          <w:t>m</w:t>
                        </w:r>
                      </w:p>
                    </w:tc>
                    <w:tc>
                      <w:tcPr>
                        <w:tcW w:w="1665" w:type="dxa"/>
                        <w:tcBorders>
                          <w:left w:val="single" w:sz="4" w:space="0" w:color="000000"/>
                          <w:right w:val="nil"/>
                        </w:tcBorders>
                      </w:tcPr>
                      <w:p>
                        <w:pPr>
                          <w:pStyle w:val="TableParagraph"/>
                          <w:spacing w:before="22"/>
                          <w:ind w:left="214" w:right="192"/>
                          <w:jc w:val="center"/>
                          <w:rPr>
                            <w:rFonts w:ascii="Times New Roman" w:eastAsia="Times New Roman"/>
                            <w:sz w:val="21"/>
                          </w:rPr>
                        </w:pPr>
                        <w:r>
                          <w:rPr>
                            <w:sz w:val="21"/>
                          </w:rPr>
                          <w:t>年排放时间</w:t>
                        </w:r>
                        <w:r>
                          <w:rPr>
                            <w:rFonts w:ascii="Times New Roman" w:eastAsia="Times New Roman"/>
                            <w:sz w:val="21"/>
                          </w:rPr>
                          <w:t>/h</w:t>
                        </w:r>
                      </w:p>
                    </w:tc>
                  </w:tr>
                  <w:tr>
                    <w:trPr>
                      <w:trHeight w:val="312" w:hRule="atLeast"/>
                    </w:trPr>
                    <w:tc>
                      <w:tcPr>
                        <w:tcW w:w="1434" w:type="dxa"/>
                        <w:tcBorders>
                          <w:left w:val="nil"/>
                          <w:right w:val="single" w:sz="4" w:space="0" w:color="000000"/>
                        </w:tcBorders>
                      </w:tcPr>
                      <w:p>
                        <w:pPr>
                          <w:pStyle w:val="TableParagraph"/>
                          <w:spacing w:before="21"/>
                          <w:ind w:left="80" w:right="48"/>
                          <w:jc w:val="center"/>
                          <w:rPr>
                            <w:sz w:val="21"/>
                          </w:rPr>
                        </w:pPr>
                        <w:r>
                          <w:rPr>
                            <w:sz w:val="21"/>
                          </w:rPr>
                          <w:t>露天采场粉尘</w:t>
                        </w:r>
                      </w:p>
                    </w:tc>
                    <w:tc>
                      <w:tcPr>
                        <w:tcW w:w="1470" w:type="dxa"/>
                        <w:tcBorders>
                          <w:left w:val="single" w:sz="4" w:space="0" w:color="000000"/>
                          <w:right w:val="single" w:sz="4" w:space="0" w:color="000000"/>
                        </w:tcBorders>
                      </w:tcPr>
                      <w:p>
                        <w:pPr>
                          <w:pStyle w:val="TableParagraph"/>
                          <w:spacing w:before="35"/>
                          <w:ind w:left="62" w:right="31"/>
                          <w:jc w:val="center"/>
                          <w:rPr>
                            <w:rFonts w:ascii="Times New Roman"/>
                            <w:sz w:val="21"/>
                          </w:rPr>
                        </w:pPr>
                        <w:r>
                          <w:rPr>
                            <w:rFonts w:ascii="Times New Roman"/>
                            <w:sz w:val="21"/>
                          </w:rPr>
                          <w:t>0.232</w:t>
                        </w:r>
                      </w:p>
                    </w:tc>
                    <w:tc>
                      <w:tcPr>
                        <w:tcW w:w="936" w:type="dxa"/>
                        <w:tcBorders>
                          <w:left w:val="single" w:sz="4" w:space="0" w:color="000000"/>
                          <w:right w:val="single" w:sz="4" w:space="0" w:color="000000"/>
                        </w:tcBorders>
                      </w:tcPr>
                      <w:p>
                        <w:pPr>
                          <w:pStyle w:val="TableParagraph"/>
                          <w:spacing w:before="35"/>
                          <w:ind w:left="58" w:right="28"/>
                          <w:jc w:val="center"/>
                          <w:rPr>
                            <w:rFonts w:ascii="Times New Roman"/>
                            <w:sz w:val="21"/>
                          </w:rPr>
                        </w:pPr>
                        <w:r>
                          <w:rPr>
                            <w:rFonts w:ascii="Times New Roman"/>
                            <w:sz w:val="21"/>
                          </w:rPr>
                          <w:t>122</w:t>
                        </w:r>
                      </w:p>
                    </w:tc>
                    <w:tc>
                      <w:tcPr>
                        <w:tcW w:w="1158" w:type="dxa"/>
                        <w:tcBorders>
                          <w:left w:val="single" w:sz="4" w:space="0" w:color="000000"/>
                          <w:right w:val="single" w:sz="4" w:space="0" w:color="000000"/>
                        </w:tcBorders>
                      </w:tcPr>
                      <w:p>
                        <w:pPr>
                          <w:pStyle w:val="TableParagraph"/>
                          <w:spacing w:before="35"/>
                          <w:ind w:left="117" w:right="89"/>
                          <w:jc w:val="center"/>
                          <w:rPr>
                            <w:rFonts w:ascii="Times New Roman"/>
                            <w:sz w:val="21"/>
                          </w:rPr>
                        </w:pPr>
                        <w:r>
                          <w:rPr>
                            <w:rFonts w:ascii="Times New Roman"/>
                            <w:sz w:val="21"/>
                          </w:rPr>
                          <w:t>58</w:t>
                        </w:r>
                      </w:p>
                    </w:tc>
                    <w:tc>
                      <w:tcPr>
                        <w:tcW w:w="2110" w:type="dxa"/>
                        <w:tcBorders>
                          <w:left w:val="single" w:sz="4" w:space="0" w:color="000000"/>
                          <w:right w:val="single" w:sz="4" w:space="0" w:color="000000"/>
                        </w:tcBorders>
                      </w:tcPr>
                      <w:p>
                        <w:pPr>
                          <w:pStyle w:val="TableParagraph"/>
                          <w:spacing w:before="35"/>
                          <w:ind w:left="24"/>
                          <w:jc w:val="center"/>
                          <w:rPr>
                            <w:rFonts w:ascii="Times New Roman"/>
                            <w:sz w:val="21"/>
                          </w:rPr>
                        </w:pPr>
                        <w:r>
                          <w:rPr>
                            <w:rFonts w:ascii="Times New Roman"/>
                            <w:w w:val="99"/>
                            <w:sz w:val="21"/>
                          </w:rPr>
                          <w:t>8</w:t>
                        </w:r>
                      </w:p>
                    </w:tc>
                    <w:tc>
                      <w:tcPr>
                        <w:tcW w:w="1665" w:type="dxa"/>
                        <w:tcBorders>
                          <w:left w:val="single" w:sz="4" w:space="0" w:color="000000"/>
                          <w:right w:val="nil"/>
                        </w:tcBorders>
                      </w:tcPr>
                      <w:p>
                        <w:pPr>
                          <w:pStyle w:val="TableParagraph"/>
                          <w:spacing w:before="35"/>
                          <w:ind w:left="214" w:right="192"/>
                          <w:jc w:val="center"/>
                          <w:rPr>
                            <w:rFonts w:ascii="Times New Roman"/>
                            <w:sz w:val="21"/>
                          </w:rPr>
                        </w:pPr>
                        <w:r>
                          <w:rPr>
                            <w:rFonts w:ascii="Times New Roman"/>
                            <w:sz w:val="21"/>
                          </w:rPr>
                          <w:t>1050</w:t>
                        </w:r>
                      </w:p>
                    </w:tc>
                  </w:tr>
                </w:tbl>
                <w:p>
                  <w:pPr>
                    <w:pStyle w:val="BodyText"/>
                  </w:pPr>
                </w:p>
              </w:txbxContent>
            </v:textbox>
            <w10:wrap type="none"/>
          </v:shape>
        </w:pict>
      </w:r>
      <w:bookmarkStart w:name="7环境影响分析" w:id="43"/>
      <w:bookmarkEnd w:id="43"/>
      <w:r>
        <w:rPr/>
      </w:r>
      <w:bookmarkStart w:name="_bookmark12" w:id="44"/>
      <w:bookmarkEnd w:id="44"/>
      <w:r>
        <w:rPr/>
      </w:r>
      <w:bookmarkStart w:name="_bookmark12" w:id="45"/>
      <w:bookmarkEnd w:id="45"/>
      <w:r>
        <w:rPr>
          <w:spacing w:val="-3"/>
        </w:rPr>
        <w:t>环境影响分析</w:t>
      </w: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2919"/>
        <w:gridCol w:w="2523"/>
        <w:gridCol w:w="1798"/>
        <w:gridCol w:w="1158"/>
      </w:tblGrid>
      <w:tr>
        <w:trPr>
          <w:trHeight w:val="1860" w:hRule="atLeast"/>
        </w:trPr>
        <w:tc>
          <w:tcPr>
            <w:tcW w:w="9555" w:type="dxa"/>
            <w:gridSpan w:val="5"/>
          </w:tcPr>
          <w:p>
            <w:pPr>
              <w:pStyle w:val="TableParagraph"/>
              <w:spacing w:before="145"/>
              <w:ind w:left="108"/>
              <w:rPr>
                <w:rFonts w:ascii="黑体" w:eastAsia="黑体" w:hint="eastAsia"/>
                <w:sz w:val="24"/>
              </w:rPr>
            </w:pPr>
            <w:bookmarkStart w:name="7.1施工期环境影响分析及防治措施" w:id="46"/>
            <w:bookmarkEnd w:id="46"/>
            <w:r>
              <w:rPr/>
            </w:r>
            <w:bookmarkStart w:name="_bookmark13" w:id="47"/>
            <w:bookmarkEnd w:id="47"/>
            <w:r>
              <w:rPr/>
            </w:r>
            <w:r>
              <w:rPr>
                <w:rFonts w:ascii="Times New Roman" w:eastAsia="Times New Roman"/>
                <w:sz w:val="24"/>
              </w:rPr>
              <w:t>7.1 </w:t>
            </w:r>
            <w:r>
              <w:rPr>
                <w:rFonts w:ascii="黑体" w:eastAsia="黑体" w:hint="eastAsia"/>
                <w:sz w:val="24"/>
              </w:rPr>
              <w:t>施工期环境影响分析及防治措施</w:t>
            </w:r>
          </w:p>
          <w:p>
            <w:pPr>
              <w:pStyle w:val="TableParagraph"/>
              <w:spacing w:line="460" w:lineRule="atLeast" w:before="3"/>
              <w:ind w:left="108" w:right="95" w:firstLine="480"/>
              <w:jc w:val="both"/>
              <w:rPr>
                <w:sz w:val="24"/>
              </w:rPr>
            </w:pPr>
            <w:r>
              <w:rPr>
                <w:spacing w:val="-3"/>
                <w:sz w:val="24"/>
              </w:rPr>
              <w:t>该项目为非金属矿的露天开采，开采的页岩矿直接运输至东侧页岩砖厂进行生产。由</w:t>
            </w:r>
            <w:r>
              <w:rPr>
                <w:spacing w:val="-4"/>
                <w:sz w:val="24"/>
              </w:rPr>
              <w:t>于项目开采规模较小，同时项目不需要修建厂房、办公用房等建设，表土剥离与采矿同时</w:t>
            </w:r>
            <w:r>
              <w:rPr>
                <w:sz w:val="24"/>
              </w:rPr>
              <w:t>进行，因此本次环评不对施工期进行描述。</w:t>
            </w:r>
          </w:p>
        </w:tc>
      </w:tr>
      <w:tr>
        <w:trPr>
          <w:trHeight w:val="9747" w:hRule="atLeast"/>
        </w:trPr>
        <w:tc>
          <w:tcPr>
            <w:tcW w:w="9555" w:type="dxa"/>
            <w:gridSpan w:val="5"/>
            <w:tcBorders>
              <w:bottom w:val="nil"/>
            </w:tcBorders>
          </w:tcPr>
          <w:p>
            <w:pPr>
              <w:pStyle w:val="TableParagraph"/>
              <w:numPr>
                <w:ilvl w:val="1"/>
                <w:numId w:val="11"/>
              </w:numPr>
              <w:tabs>
                <w:tab w:pos="469" w:val="left" w:leader="none"/>
              </w:tabs>
              <w:spacing w:line="240" w:lineRule="auto" w:before="166" w:after="0"/>
              <w:ind w:left="468" w:right="0" w:hanging="361"/>
              <w:jc w:val="left"/>
              <w:rPr>
                <w:rFonts w:ascii="黑体" w:eastAsia="黑体" w:hint="eastAsia"/>
                <w:sz w:val="24"/>
              </w:rPr>
            </w:pPr>
            <w:bookmarkStart w:name="7.2运营期环境影响分析及环保措施" w:id="48"/>
            <w:bookmarkEnd w:id="48"/>
            <w:r>
              <w:rPr/>
            </w:r>
            <w:bookmarkStart w:name="_bookmark14" w:id="49"/>
            <w:bookmarkEnd w:id="49"/>
            <w:r>
              <w:rPr/>
            </w:r>
            <w:bookmarkStart w:name="_bookmark14" w:id="50"/>
            <w:bookmarkEnd w:id="50"/>
            <w:r>
              <w:rPr>
                <w:rFonts w:ascii="黑体" w:eastAsia="黑体" w:hint="eastAsia"/>
                <w:sz w:val="24"/>
              </w:rPr>
              <w:t>运营期环境影响分析及环保措施</w:t>
            </w:r>
          </w:p>
          <w:p>
            <w:pPr>
              <w:pStyle w:val="TableParagraph"/>
              <w:numPr>
                <w:ilvl w:val="2"/>
                <w:numId w:val="11"/>
              </w:numPr>
              <w:tabs>
                <w:tab w:pos="1129" w:val="left" w:leader="none"/>
              </w:tabs>
              <w:spacing w:line="240" w:lineRule="auto" w:before="156" w:after="0"/>
              <w:ind w:left="1128" w:right="0" w:hanging="541"/>
              <w:jc w:val="left"/>
              <w:rPr>
                <w:b/>
                <w:sz w:val="24"/>
              </w:rPr>
            </w:pPr>
            <w:r>
              <w:rPr>
                <w:b/>
                <w:w w:val="95"/>
                <w:sz w:val="24"/>
              </w:rPr>
              <w:t>废气环境影响分析</w:t>
            </w:r>
          </w:p>
          <w:p>
            <w:pPr>
              <w:pStyle w:val="TableParagraph"/>
              <w:spacing w:before="153"/>
              <w:ind w:left="588"/>
              <w:rPr>
                <w:sz w:val="24"/>
              </w:rPr>
            </w:pPr>
            <w:r>
              <w:rPr>
                <w:sz w:val="24"/>
              </w:rPr>
              <w:t>本项目运营期粉尘主要是露天采场粉尘，排放方式主要为无组织排放。</w:t>
            </w:r>
          </w:p>
          <w:p>
            <w:pPr>
              <w:pStyle w:val="TableParagraph"/>
              <w:spacing w:before="151"/>
              <w:ind w:left="588"/>
              <w:rPr>
                <w:sz w:val="24"/>
              </w:rPr>
            </w:pPr>
            <w:r>
              <w:rPr>
                <w:rFonts w:ascii="Times New Roman" w:eastAsia="Times New Roman"/>
                <w:sz w:val="24"/>
              </w:rPr>
              <w:t>1</w:t>
            </w:r>
            <w:r>
              <w:rPr>
                <w:sz w:val="24"/>
              </w:rPr>
              <w:t>、评价因子筛选和评价标准确定</w:t>
            </w:r>
          </w:p>
          <w:p>
            <w:pPr>
              <w:pStyle w:val="TableParagraph"/>
              <w:spacing w:line="357" w:lineRule="auto" w:before="153"/>
              <w:ind w:left="108" w:right="95" w:firstLine="480"/>
              <w:jc w:val="both"/>
              <w:rPr>
                <w:sz w:val="24"/>
              </w:rPr>
            </w:pPr>
            <w:r>
              <w:rPr>
                <w:spacing w:val="-2"/>
                <w:sz w:val="24"/>
              </w:rPr>
              <w:t>选择对环境影响较大或环境较为敏感的特征污染因子作为评价因子，根据本项目大气</w:t>
            </w:r>
            <w:r>
              <w:rPr>
                <w:spacing w:val="-3"/>
                <w:sz w:val="24"/>
              </w:rPr>
              <w:t>污染物排放特点并结合区域环境功能要求、自然环境等特点，确定本项目评价因子和评价</w:t>
            </w:r>
            <w:r>
              <w:rPr>
                <w:spacing w:val="-12"/>
                <w:sz w:val="24"/>
              </w:rPr>
              <w:t>标准见表 </w:t>
            </w:r>
            <w:r>
              <w:rPr>
                <w:rFonts w:ascii="Times New Roman" w:eastAsia="Times New Roman"/>
                <w:sz w:val="24"/>
              </w:rPr>
              <w:t>7.1</w:t>
            </w:r>
            <w:r>
              <w:rPr>
                <w:sz w:val="24"/>
              </w:rPr>
              <w:t>。</w:t>
            </w:r>
          </w:p>
          <w:p>
            <w:pPr>
              <w:pStyle w:val="TableParagraph"/>
              <w:spacing w:before="6"/>
              <w:ind w:left="3096"/>
              <w:jc w:val="both"/>
              <w:rPr>
                <w:b/>
                <w:sz w:val="24"/>
              </w:rPr>
            </w:pPr>
            <w:r>
              <w:rPr>
                <w:b/>
                <w:sz w:val="24"/>
              </w:rPr>
              <w:t>表 </w:t>
            </w:r>
            <w:r>
              <w:rPr>
                <w:rFonts w:ascii="Times New Roman" w:eastAsia="Times New Roman"/>
                <w:b/>
                <w:sz w:val="24"/>
              </w:rPr>
              <w:t>7.1  </w:t>
            </w:r>
            <w:r>
              <w:rPr>
                <w:b/>
                <w:sz w:val="24"/>
              </w:rPr>
              <w:t>评价因子和评价标准表</w:t>
            </w:r>
          </w:p>
          <w:p>
            <w:pPr>
              <w:pStyle w:val="TableParagraph"/>
              <w:rPr>
                <w:rFonts w:ascii="黑体"/>
                <w:sz w:val="26"/>
              </w:rPr>
            </w:pPr>
          </w:p>
          <w:p>
            <w:pPr>
              <w:pStyle w:val="TableParagraph"/>
              <w:rPr>
                <w:rFonts w:ascii="黑体"/>
                <w:sz w:val="26"/>
              </w:rPr>
            </w:pPr>
          </w:p>
          <w:p>
            <w:pPr>
              <w:pStyle w:val="TableParagraph"/>
              <w:spacing w:before="199"/>
              <w:ind w:left="588"/>
              <w:rPr>
                <w:sz w:val="24"/>
              </w:rPr>
            </w:pPr>
            <w:r>
              <w:rPr>
                <w:rFonts w:ascii="Times New Roman" w:eastAsia="Times New Roman"/>
                <w:sz w:val="24"/>
              </w:rPr>
              <w:t>2</w:t>
            </w:r>
            <w:r>
              <w:rPr>
                <w:sz w:val="24"/>
              </w:rPr>
              <w:t>、预测分析</w:t>
            </w:r>
          </w:p>
          <w:p>
            <w:pPr>
              <w:pStyle w:val="TableParagraph"/>
              <w:spacing w:before="154"/>
              <w:ind w:left="588"/>
              <w:rPr>
                <w:sz w:val="24"/>
              </w:rPr>
            </w:pPr>
            <w:r>
              <w:rPr>
                <w:spacing w:val="17"/>
                <w:sz w:val="24"/>
              </w:rPr>
              <w:t>采用《环境影响评价技术导则 大气环境》</w:t>
            </w:r>
            <w:r>
              <w:rPr>
                <w:sz w:val="24"/>
              </w:rPr>
              <w:t>（</w:t>
            </w:r>
            <w:r>
              <w:rPr>
                <w:spacing w:val="-96"/>
                <w:sz w:val="24"/>
              </w:rPr>
              <w:t> </w:t>
            </w:r>
            <w:r>
              <w:rPr>
                <w:rFonts w:ascii="Times New Roman" w:eastAsia="Times New Roman"/>
                <w:sz w:val="24"/>
              </w:rPr>
              <w:t>HJ2.2-2018 </w:t>
            </w:r>
            <w:r>
              <w:rPr>
                <w:sz w:val="24"/>
              </w:rPr>
              <w:t>）</w:t>
            </w:r>
            <w:r>
              <w:rPr>
                <w:spacing w:val="9"/>
                <w:sz w:val="24"/>
              </w:rPr>
              <w:t> 中的推荐的估算模型</w:t>
            </w:r>
          </w:p>
          <w:p>
            <w:pPr>
              <w:pStyle w:val="TableParagraph"/>
              <w:spacing w:before="151"/>
              <w:ind w:left="108"/>
              <w:rPr>
                <w:sz w:val="24"/>
              </w:rPr>
            </w:pPr>
            <w:r>
              <w:rPr>
                <w:rFonts w:ascii="Times New Roman" w:eastAsia="Times New Roman"/>
                <w:sz w:val="24"/>
              </w:rPr>
              <w:t>AERSCREEN </w:t>
            </w:r>
            <w:r>
              <w:rPr>
                <w:sz w:val="24"/>
              </w:rPr>
              <w:t>计算模型预测本项目对预测范围不同时段的大气环境影响。</w:t>
            </w:r>
          </w:p>
          <w:p>
            <w:pPr>
              <w:pStyle w:val="TableParagraph"/>
              <w:numPr>
                <w:ilvl w:val="0"/>
                <w:numId w:val="12"/>
              </w:numPr>
              <w:tabs>
                <w:tab w:pos="1190" w:val="left" w:leader="none"/>
              </w:tabs>
              <w:spacing w:line="240" w:lineRule="auto" w:before="153" w:after="0"/>
              <w:ind w:left="1189" w:right="0" w:hanging="602"/>
              <w:jc w:val="left"/>
              <w:rPr>
                <w:sz w:val="24"/>
              </w:rPr>
            </w:pPr>
            <w:r>
              <w:rPr>
                <w:sz w:val="24"/>
              </w:rPr>
              <w:t>污染源参数</w:t>
            </w:r>
          </w:p>
          <w:p>
            <w:pPr>
              <w:pStyle w:val="TableParagraph"/>
              <w:spacing w:line="357" w:lineRule="auto" w:before="153"/>
              <w:ind w:left="108" w:right="45" w:firstLine="480"/>
              <w:rPr>
                <w:sz w:val="24"/>
              </w:rPr>
            </w:pPr>
            <w:r>
              <w:rPr>
                <w:sz w:val="24"/>
              </w:rPr>
              <w:t>根据工程分析，对本项目露天采场粉尘进行预测分析，本项目污染源（面源）参数见表 </w:t>
            </w:r>
            <w:r>
              <w:rPr>
                <w:rFonts w:ascii="Times New Roman" w:eastAsia="Times New Roman"/>
                <w:sz w:val="24"/>
              </w:rPr>
              <w:t>7.2</w:t>
            </w:r>
            <w:r>
              <w:rPr>
                <w:sz w:val="24"/>
              </w:rPr>
              <w:t>。</w:t>
            </w:r>
          </w:p>
          <w:p>
            <w:pPr>
              <w:pStyle w:val="TableParagraph"/>
              <w:tabs>
                <w:tab w:pos="4656" w:val="left" w:leader="none"/>
              </w:tabs>
              <w:spacing w:before="3"/>
              <w:ind w:left="3696"/>
              <w:rPr>
                <w:b/>
                <w:sz w:val="24"/>
              </w:rPr>
            </w:pPr>
            <w:r>
              <w:rPr>
                <w:b/>
                <w:sz w:val="24"/>
              </w:rPr>
              <w:t>表</w:t>
            </w:r>
            <w:r>
              <w:rPr>
                <w:b/>
                <w:spacing w:val="-62"/>
                <w:sz w:val="24"/>
              </w:rPr>
              <w:t> </w:t>
            </w:r>
            <w:r>
              <w:rPr>
                <w:rFonts w:ascii="Times New Roman" w:eastAsia="Times New Roman"/>
                <w:b/>
                <w:sz w:val="24"/>
              </w:rPr>
              <w:t>7.2</w:t>
              <w:tab/>
            </w:r>
            <w:r>
              <w:rPr>
                <w:b/>
                <w:sz w:val="24"/>
              </w:rPr>
              <w:t>面源参数表</w:t>
            </w:r>
          </w:p>
          <w:p>
            <w:pPr>
              <w:pStyle w:val="TableParagraph"/>
              <w:rPr>
                <w:rFonts w:ascii="黑体"/>
                <w:sz w:val="26"/>
              </w:rPr>
            </w:pPr>
          </w:p>
          <w:p>
            <w:pPr>
              <w:pStyle w:val="TableParagraph"/>
              <w:rPr>
                <w:rFonts w:ascii="黑体"/>
                <w:sz w:val="26"/>
              </w:rPr>
            </w:pPr>
          </w:p>
          <w:p>
            <w:pPr>
              <w:pStyle w:val="TableParagraph"/>
              <w:numPr>
                <w:ilvl w:val="0"/>
                <w:numId w:val="12"/>
              </w:numPr>
              <w:tabs>
                <w:tab w:pos="1190" w:val="left" w:leader="none"/>
              </w:tabs>
              <w:spacing w:line="360" w:lineRule="auto" w:before="200" w:after="0"/>
              <w:ind w:left="588" w:right="5234" w:firstLine="0"/>
              <w:jc w:val="left"/>
              <w:rPr>
                <w:sz w:val="24"/>
              </w:rPr>
            </w:pPr>
            <w:r>
              <w:rPr>
                <w:spacing w:val="-2"/>
                <w:sz w:val="24"/>
              </w:rPr>
              <w:t>主要污染与估算模式计算结果</w:t>
            </w:r>
            <w:r>
              <w:rPr>
                <w:spacing w:val="-5"/>
                <w:sz w:val="24"/>
              </w:rPr>
              <w:t>无组织排放预测结果见表 </w:t>
            </w:r>
            <w:r>
              <w:rPr>
                <w:rFonts w:ascii="Times New Roman" w:eastAsia="Times New Roman"/>
                <w:sz w:val="24"/>
              </w:rPr>
              <w:t>7.3</w:t>
            </w:r>
            <w:r>
              <w:rPr>
                <w:sz w:val="24"/>
              </w:rPr>
              <w:t>。</w:t>
            </w:r>
          </w:p>
          <w:p>
            <w:pPr>
              <w:pStyle w:val="TableParagraph"/>
              <w:spacing w:line="307" w:lineRule="exact"/>
              <w:ind w:left="3036"/>
              <w:jc w:val="both"/>
              <w:rPr>
                <w:b/>
                <w:sz w:val="24"/>
              </w:rPr>
            </w:pPr>
            <w:r>
              <w:rPr>
                <w:b/>
                <w:sz w:val="24"/>
              </w:rPr>
              <w:t>表 </w:t>
            </w:r>
            <w:r>
              <w:rPr>
                <w:rFonts w:ascii="Times New Roman" w:eastAsia="Times New Roman"/>
                <w:b/>
                <w:sz w:val="24"/>
              </w:rPr>
              <w:t>7.3  </w:t>
            </w:r>
            <w:r>
              <w:rPr>
                <w:b/>
                <w:sz w:val="24"/>
              </w:rPr>
              <w:t>无组织排放粉尘预测结果</w:t>
            </w:r>
          </w:p>
        </w:tc>
      </w:tr>
      <w:tr>
        <w:trPr>
          <w:trHeight w:val="337" w:hRule="atLeast"/>
        </w:trPr>
        <w:tc>
          <w:tcPr>
            <w:tcW w:w="1157" w:type="dxa"/>
            <w:vMerge w:val="restart"/>
            <w:tcBorders>
              <w:top w:val="nil"/>
              <w:right w:val="nil"/>
            </w:tcBorders>
          </w:tcPr>
          <w:p>
            <w:pPr>
              <w:pStyle w:val="TableParagraph"/>
              <w:rPr>
                <w:rFonts w:ascii="Times New Roman"/>
                <w:sz w:val="22"/>
              </w:rPr>
            </w:pPr>
          </w:p>
        </w:tc>
        <w:tc>
          <w:tcPr>
            <w:tcW w:w="2919" w:type="dxa"/>
            <w:vMerge w:val="restart"/>
            <w:tcBorders>
              <w:top w:val="single" w:sz="12" w:space="0" w:color="000000"/>
              <w:left w:val="nil"/>
              <w:bottom w:val="single" w:sz="2" w:space="0" w:color="000000"/>
            </w:tcBorders>
          </w:tcPr>
          <w:p>
            <w:pPr>
              <w:pStyle w:val="TableParagraph"/>
              <w:spacing w:before="11"/>
              <w:rPr>
                <w:rFonts w:ascii="黑体"/>
                <w:sz w:val="15"/>
              </w:rPr>
            </w:pPr>
          </w:p>
          <w:p>
            <w:pPr>
              <w:pStyle w:val="TableParagraph"/>
              <w:spacing w:line="266" w:lineRule="auto"/>
              <w:ind w:left="1013" w:right="717" w:hanging="288"/>
              <w:rPr>
                <w:rFonts w:ascii="Times New Roman" w:eastAsia="Times New Roman"/>
                <w:sz w:val="21"/>
              </w:rPr>
            </w:pPr>
            <w:r>
              <w:rPr>
                <w:sz w:val="21"/>
              </w:rPr>
              <w:t>距源中心下风向距离 </w:t>
            </w:r>
            <w:r>
              <w:rPr>
                <w:rFonts w:ascii="Times New Roman" w:eastAsia="Times New Roman"/>
                <w:sz w:val="21"/>
              </w:rPr>
              <w:t>D/m</w:t>
            </w:r>
          </w:p>
        </w:tc>
        <w:tc>
          <w:tcPr>
            <w:tcW w:w="4321" w:type="dxa"/>
            <w:gridSpan w:val="2"/>
            <w:tcBorders>
              <w:top w:val="single" w:sz="12" w:space="0" w:color="000000"/>
              <w:bottom w:val="single" w:sz="2" w:space="0" w:color="000000"/>
              <w:right w:val="nil"/>
            </w:tcBorders>
          </w:tcPr>
          <w:p>
            <w:pPr>
              <w:pStyle w:val="TableParagraph"/>
              <w:spacing w:line="268" w:lineRule="exact" w:before="49"/>
              <w:ind w:left="1007"/>
              <w:rPr>
                <w:sz w:val="21"/>
              </w:rPr>
            </w:pPr>
            <w:r>
              <w:rPr>
                <w:sz w:val="21"/>
              </w:rPr>
              <w:t>露天采场无组织排放粉尘</w:t>
            </w:r>
          </w:p>
        </w:tc>
        <w:tc>
          <w:tcPr>
            <w:tcW w:w="1158" w:type="dxa"/>
            <w:vMerge w:val="restart"/>
            <w:tcBorders>
              <w:top w:val="nil"/>
              <w:left w:val="nil"/>
            </w:tcBorders>
          </w:tcPr>
          <w:p>
            <w:pPr>
              <w:pStyle w:val="TableParagraph"/>
              <w:rPr>
                <w:rFonts w:ascii="Times New Roman"/>
                <w:sz w:val="22"/>
              </w:rPr>
            </w:pPr>
          </w:p>
        </w:tc>
      </w:tr>
      <w:tr>
        <w:trPr>
          <w:trHeight w:val="595" w:hRule="atLeast"/>
        </w:trPr>
        <w:tc>
          <w:tcPr>
            <w:tcW w:w="1157" w:type="dxa"/>
            <w:vMerge/>
            <w:tcBorders>
              <w:top w:val="nil"/>
              <w:right w:val="nil"/>
            </w:tcBorders>
          </w:tcPr>
          <w:p>
            <w:pPr>
              <w:rPr>
                <w:sz w:val="2"/>
                <w:szCs w:val="2"/>
              </w:rPr>
            </w:pPr>
          </w:p>
        </w:tc>
        <w:tc>
          <w:tcPr>
            <w:tcW w:w="2919" w:type="dxa"/>
            <w:vMerge/>
            <w:tcBorders>
              <w:top w:val="nil"/>
              <w:left w:val="nil"/>
              <w:bottom w:val="single" w:sz="2" w:space="0" w:color="000000"/>
            </w:tcBorders>
          </w:tcPr>
          <w:p>
            <w:pPr>
              <w:rPr>
                <w:sz w:val="2"/>
                <w:szCs w:val="2"/>
              </w:rPr>
            </w:pPr>
          </w:p>
        </w:tc>
        <w:tc>
          <w:tcPr>
            <w:tcW w:w="2523" w:type="dxa"/>
            <w:tcBorders>
              <w:top w:val="single" w:sz="2" w:space="0" w:color="000000"/>
              <w:bottom w:val="single" w:sz="2" w:space="0" w:color="000000"/>
            </w:tcBorders>
          </w:tcPr>
          <w:p>
            <w:pPr>
              <w:pStyle w:val="TableParagraph"/>
              <w:spacing w:before="28"/>
              <w:ind w:left="505" w:right="498"/>
              <w:jc w:val="center"/>
              <w:rPr>
                <w:sz w:val="21"/>
              </w:rPr>
            </w:pPr>
            <w:r>
              <w:rPr>
                <w:sz w:val="21"/>
              </w:rPr>
              <w:t>下风向预测质量</w:t>
            </w:r>
          </w:p>
          <w:p>
            <w:pPr>
              <w:pStyle w:val="TableParagraph"/>
              <w:spacing w:line="247" w:lineRule="exact" w:before="31"/>
              <w:ind w:left="505" w:right="496"/>
              <w:jc w:val="center"/>
              <w:rPr>
                <w:rFonts w:ascii="Times New Roman" w:eastAsia="Times New Roman"/>
                <w:sz w:val="21"/>
              </w:rPr>
            </w:pPr>
            <w:r>
              <w:rPr>
                <w:sz w:val="21"/>
              </w:rPr>
              <w:t>浓度</w:t>
            </w:r>
            <w:r>
              <w:rPr>
                <w:rFonts w:ascii="Times New Roman" w:eastAsia="Times New Roman"/>
                <w:sz w:val="21"/>
              </w:rPr>
              <w:t>(ug/m</w:t>
            </w:r>
            <w:r>
              <w:rPr>
                <w:rFonts w:ascii="Times New Roman" w:eastAsia="Times New Roman"/>
                <w:position w:val="7"/>
                <w:sz w:val="13"/>
              </w:rPr>
              <w:t>3</w:t>
            </w:r>
            <w:r>
              <w:rPr>
                <w:rFonts w:ascii="Times New Roman" w:eastAsia="Times New Roman"/>
                <w:sz w:val="21"/>
              </w:rPr>
              <w:t>)</w:t>
            </w:r>
          </w:p>
        </w:tc>
        <w:tc>
          <w:tcPr>
            <w:tcW w:w="1798" w:type="dxa"/>
            <w:tcBorders>
              <w:top w:val="single" w:sz="2" w:space="0" w:color="000000"/>
              <w:bottom w:val="single" w:sz="2" w:space="0" w:color="000000"/>
              <w:right w:val="nil"/>
            </w:tcBorders>
          </w:tcPr>
          <w:p>
            <w:pPr>
              <w:pStyle w:val="TableParagraph"/>
              <w:spacing w:before="177"/>
              <w:ind w:left="268" w:right="260"/>
              <w:jc w:val="center"/>
              <w:rPr>
                <w:sz w:val="21"/>
              </w:rPr>
            </w:pPr>
            <w:r>
              <w:rPr>
                <w:sz w:val="21"/>
              </w:rPr>
              <w:t>占标率（</w:t>
            </w:r>
            <w:r>
              <w:rPr>
                <w:rFonts w:ascii="Times New Roman" w:eastAsia="Times New Roman"/>
                <w:sz w:val="21"/>
              </w:rPr>
              <w:t>%</w:t>
            </w:r>
            <w:r>
              <w:rPr>
                <w:sz w:val="21"/>
              </w:rPr>
              <w:t>）</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1"/>
              <w:ind w:left="390" w:right="381"/>
              <w:jc w:val="center"/>
              <w:rPr>
                <w:rFonts w:ascii="Times New Roman"/>
                <w:sz w:val="21"/>
              </w:rPr>
            </w:pPr>
            <w:r>
              <w:rPr>
                <w:rFonts w:ascii="Times New Roman"/>
                <w:sz w:val="21"/>
              </w:rPr>
              <w:t>10</w:t>
            </w:r>
          </w:p>
        </w:tc>
        <w:tc>
          <w:tcPr>
            <w:tcW w:w="2523" w:type="dxa"/>
            <w:tcBorders>
              <w:top w:val="single" w:sz="2" w:space="0" w:color="000000"/>
              <w:bottom w:val="single" w:sz="2" w:space="0" w:color="000000"/>
            </w:tcBorders>
          </w:tcPr>
          <w:p>
            <w:pPr>
              <w:pStyle w:val="TableParagraph"/>
              <w:spacing w:before="46"/>
              <w:ind w:left="505" w:right="497"/>
              <w:jc w:val="center"/>
              <w:rPr>
                <w:rFonts w:ascii="Times New Roman"/>
                <w:sz w:val="21"/>
              </w:rPr>
            </w:pPr>
            <w:r>
              <w:rPr>
                <w:rFonts w:ascii="Times New Roman"/>
                <w:sz w:val="21"/>
              </w:rPr>
              <w:t>20.221</w:t>
            </w:r>
          </w:p>
        </w:tc>
        <w:tc>
          <w:tcPr>
            <w:tcW w:w="1798" w:type="dxa"/>
            <w:tcBorders>
              <w:top w:val="single" w:sz="2" w:space="0" w:color="000000"/>
              <w:bottom w:val="single" w:sz="2" w:space="0" w:color="000000"/>
              <w:right w:val="nil"/>
            </w:tcBorders>
          </w:tcPr>
          <w:p>
            <w:pPr>
              <w:pStyle w:val="TableParagraph"/>
              <w:spacing w:before="61"/>
              <w:ind w:left="268" w:right="259"/>
              <w:jc w:val="center"/>
              <w:rPr>
                <w:rFonts w:ascii="Times New Roman"/>
                <w:sz w:val="21"/>
              </w:rPr>
            </w:pPr>
            <w:r>
              <w:rPr>
                <w:rFonts w:ascii="Times New Roman"/>
                <w:sz w:val="21"/>
              </w:rPr>
              <w:t>2.31</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1"/>
              <w:ind w:left="390" w:right="381"/>
              <w:jc w:val="center"/>
              <w:rPr>
                <w:rFonts w:ascii="Times New Roman"/>
                <w:sz w:val="21"/>
              </w:rPr>
            </w:pPr>
            <w:r>
              <w:rPr>
                <w:rFonts w:ascii="Times New Roman"/>
                <w:sz w:val="21"/>
              </w:rPr>
              <w:t>45</w:t>
            </w:r>
          </w:p>
        </w:tc>
        <w:tc>
          <w:tcPr>
            <w:tcW w:w="2523" w:type="dxa"/>
            <w:tcBorders>
              <w:top w:val="single" w:sz="2" w:space="0" w:color="000000"/>
              <w:bottom w:val="single" w:sz="2" w:space="0" w:color="000000"/>
            </w:tcBorders>
          </w:tcPr>
          <w:p>
            <w:pPr>
              <w:pStyle w:val="TableParagraph"/>
              <w:spacing w:before="47"/>
              <w:ind w:left="505" w:right="497"/>
              <w:jc w:val="center"/>
              <w:rPr>
                <w:rFonts w:ascii="Times New Roman"/>
                <w:sz w:val="21"/>
              </w:rPr>
            </w:pPr>
            <w:r>
              <w:rPr>
                <w:rFonts w:ascii="Times New Roman"/>
                <w:sz w:val="21"/>
              </w:rPr>
              <w:t>33.163</w:t>
            </w:r>
          </w:p>
        </w:tc>
        <w:tc>
          <w:tcPr>
            <w:tcW w:w="1798" w:type="dxa"/>
            <w:tcBorders>
              <w:top w:val="single" w:sz="2" w:space="0" w:color="000000"/>
              <w:bottom w:val="single" w:sz="2" w:space="0" w:color="000000"/>
              <w:right w:val="nil"/>
            </w:tcBorders>
          </w:tcPr>
          <w:p>
            <w:pPr>
              <w:pStyle w:val="TableParagraph"/>
              <w:spacing w:before="59"/>
              <w:ind w:left="267" w:right="260"/>
              <w:jc w:val="center"/>
              <w:rPr>
                <w:rFonts w:ascii="Times New Roman"/>
                <w:sz w:val="21"/>
              </w:rPr>
            </w:pPr>
            <w:r>
              <w:rPr>
                <w:rFonts w:ascii="Times New Roman"/>
                <w:sz w:val="21"/>
              </w:rPr>
              <w:t>3.52</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12" w:space="0" w:color="000000"/>
            </w:tcBorders>
          </w:tcPr>
          <w:p>
            <w:pPr>
              <w:pStyle w:val="TableParagraph"/>
              <w:spacing w:before="62"/>
              <w:ind w:left="390" w:right="381"/>
              <w:jc w:val="center"/>
              <w:rPr>
                <w:rFonts w:ascii="Times New Roman"/>
                <w:sz w:val="21"/>
              </w:rPr>
            </w:pPr>
            <w:r>
              <w:rPr>
                <w:rFonts w:ascii="Times New Roman"/>
                <w:sz w:val="21"/>
              </w:rPr>
              <w:t>50</w:t>
            </w:r>
          </w:p>
        </w:tc>
        <w:tc>
          <w:tcPr>
            <w:tcW w:w="2523" w:type="dxa"/>
            <w:tcBorders>
              <w:top w:val="single" w:sz="2" w:space="0" w:color="000000"/>
              <w:bottom w:val="single" w:sz="12" w:space="0" w:color="000000"/>
            </w:tcBorders>
          </w:tcPr>
          <w:p>
            <w:pPr>
              <w:pStyle w:val="TableParagraph"/>
              <w:spacing w:before="48"/>
              <w:ind w:left="505" w:right="497"/>
              <w:jc w:val="center"/>
              <w:rPr>
                <w:rFonts w:ascii="Times New Roman"/>
                <w:sz w:val="21"/>
              </w:rPr>
            </w:pPr>
            <w:r>
              <w:rPr>
                <w:rFonts w:ascii="Times New Roman"/>
                <w:sz w:val="21"/>
              </w:rPr>
              <w:t>35.538</w:t>
            </w:r>
          </w:p>
        </w:tc>
        <w:tc>
          <w:tcPr>
            <w:tcW w:w="1798" w:type="dxa"/>
            <w:tcBorders>
              <w:top w:val="single" w:sz="2" w:space="0" w:color="000000"/>
              <w:bottom w:val="single" w:sz="12" w:space="0" w:color="000000"/>
              <w:right w:val="nil"/>
            </w:tcBorders>
          </w:tcPr>
          <w:p>
            <w:pPr>
              <w:pStyle w:val="TableParagraph"/>
              <w:spacing w:before="60"/>
              <w:ind w:left="267" w:right="260"/>
              <w:jc w:val="center"/>
              <w:rPr>
                <w:rFonts w:ascii="Times New Roman"/>
                <w:sz w:val="21"/>
              </w:rPr>
            </w:pPr>
            <w:r>
              <w:rPr>
                <w:rFonts w:ascii="Times New Roman"/>
                <w:sz w:val="21"/>
              </w:rPr>
              <w:t>3.75</w:t>
            </w:r>
          </w:p>
        </w:tc>
        <w:tc>
          <w:tcPr>
            <w:tcW w:w="1158" w:type="dxa"/>
            <w:vMerge/>
            <w:tcBorders>
              <w:top w:val="nil"/>
              <w:left w:val="nil"/>
            </w:tcBorders>
          </w:tcPr>
          <w:p>
            <w:pPr>
              <w:rPr>
                <w:sz w:val="2"/>
                <w:szCs w:val="2"/>
              </w:rPr>
            </w:pPr>
          </w:p>
        </w:tc>
      </w:tr>
    </w:tbl>
    <w:p>
      <w:pPr>
        <w:spacing w:after="0"/>
        <w:rPr>
          <w:sz w:val="2"/>
          <w:szCs w:val="2"/>
        </w:rPr>
        <w:sectPr>
          <w:pgSz w:w="11910" w:h="16840"/>
          <w:pgMar w:header="0" w:footer="770" w:top="1340" w:bottom="960" w:left="1020" w:right="88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2919"/>
        <w:gridCol w:w="2523"/>
        <w:gridCol w:w="1798"/>
        <w:gridCol w:w="1158"/>
      </w:tblGrid>
      <w:tr>
        <w:trPr>
          <w:trHeight w:val="357" w:hRule="atLeast"/>
        </w:trPr>
        <w:tc>
          <w:tcPr>
            <w:tcW w:w="1157" w:type="dxa"/>
            <w:vMerge w:val="restart"/>
            <w:tcBorders>
              <w:bottom w:val="nil"/>
              <w:right w:val="nil"/>
            </w:tcBorders>
          </w:tcPr>
          <w:p>
            <w:pPr>
              <w:pStyle w:val="TableParagraph"/>
              <w:rPr>
                <w:rFonts w:ascii="Times New Roman"/>
                <w:sz w:val="22"/>
              </w:rPr>
            </w:pPr>
          </w:p>
        </w:tc>
        <w:tc>
          <w:tcPr>
            <w:tcW w:w="2919" w:type="dxa"/>
            <w:tcBorders>
              <w:top w:val="single" w:sz="18" w:space="0" w:color="000000"/>
              <w:left w:val="nil"/>
              <w:bottom w:val="single" w:sz="2" w:space="0" w:color="000000"/>
            </w:tcBorders>
          </w:tcPr>
          <w:p>
            <w:pPr>
              <w:pStyle w:val="TableParagraph"/>
              <w:spacing w:before="71"/>
              <w:ind w:left="390" w:right="381"/>
              <w:jc w:val="center"/>
              <w:rPr>
                <w:rFonts w:ascii="Times New Roman"/>
                <w:sz w:val="21"/>
              </w:rPr>
            </w:pPr>
            <w:r>
              <w:rPr>
                <w:rFonts w:ascii="Times New Roman"/>
                <w:sz w:val="21"/>
              </w:rPr>
              <w:t>100</w:t>
            </w:r>
          </w:p>
        </w:tc>
        <w:tc>
          <w:tcPr>
            <w:tcW w:w="2523" w:type="dxa"/>
            <w:tcBorders>
              <w:top w:val="single" w:sz="18" w:space="0" w:color="000000"/>
              <w:bottom w:val="single" w:sz="2" w:space="0" w:color="000000"/>
            </w:tcBorders>
          </w:tcPr>
          <w:p>
            <w:pPr>
              <w:pStyle w:val="TableParagraph"/>
              <w:spacing w:before="57"/>
              <w:ind w:left="971"/>
              <w:rPr>
                <w:rFonts w:ascii="Times New Roman"/>
                <w:sz w:val="21"/>
              </w:rPr>
            </w:pPr>
            <w:r>
              <w:rPr>
                <w:rFonts w:ascii="Times New Roman"/>
                <w:sz w:val="21"/>
              </w:rPr>
              <w:t>43.081</w:t>
            </w:r>
          </w:p>
        </w:tc>
        <w:tc>
          <w:tcPr>
            <w:tcW w:w="1798" w:type="dxa"/>
            <w:tcBorders>
              <w:top w:val="single" w:sz="18" w:space="0" w:color="000000"/>
              <w:bottom w:val="single" w:sz="2" w:space="0" w:color="000000"/>
              <w:right w:val="nil"/>
            </w:tcBorders>
          </w:tcPr>
          <w:p>
            <w:pPr>
              <w:pStyle w:val="TableParagraph"/>
              <w:spacing w:before="81"/>
              <w:ind w:left="268" w:right="259"/>
              <w:jc w:val="center"/>
              <w:rPr>
                <w:rFonts w:ascii="Times New Roman"/>
                <w:sz w:val="21"/>
              </w:rPr>
            </w:pPr>
            <w:r>
              <w:rPr>
                <w:rFonts w:ascii="Times New Roman"/>
                <w:sz w:val="21"/>
              </w:rPr>
              <w:t>4.79</w:t>
            </w:r>
          </w:p>
        </w:tc>
        <w:tc>
          <w:tcPr>
            <w:tcW w:w="1158" w:type="dxa"/>
            <w:vMerge w:val="restart"/>
            <w:tcBorders>
              <w:left w:val="nil"/>
              <w:bottom w:val="nil"/>
            </w:tcBorders>
          </w:tcPr>
          <w:p>
            <w:pPr>
              <w:pStyle w:val="TableParagraph"/>
              <w:rPr>
                <w:rFonts w:ascii="Times New Roman"/>
                <w:sz w:val="2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154</w:t>
            </w:r>
          </w:p>
        </w:tc>
        <w:tc>
          <w:tcPr>
            <w:tcW w:w="2523" w:type="dxa"/>
            <w:tcBorders>
              <w:top w:val="single" w:sz="2" w:space="0" w:color="000000"/>
              <w:bottom w:val="single" w:sz="2" w:space="0" w:color="000000"/>
            </w:tcBorders>
          </w:tcPr>
          <w:p>
            <w:pPr>
              <w:pStyle w:val="TableParagraph"/>
              <w:spacing w:before="49"/>
              <w:ind w:left="971"/>
              <w:rPr>
                <w:rFonts w:ascii="Times New Roman"/>
                <w:b/>
                <w:sz w:val="21"/>
              </w:rPr>
            </w:pPr>
            <w:r>
              <w:rPr>
                <w:rFonts w:ascii="Times New Roman"/>
                <w:b/>
                <w:sz w:val="21"/>
              </w:rPr>
              <w:t>44.896</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5.12</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40.586</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4.51</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300</w:t>
            </w:r>
          </w:p>
        </w:tc>
        <w:tc>
          <w:tcPr>
            <w:tcW w:w="2523" w:type="dxa"/>
            <w:tcBorders>
              <w:top w:val="single" w:sz="2" w:space="0" w:color="000000"/>
              <w:bottom w:val="single" w:sz="2" w:space="0" w:color="000000"/>
            </w:tcBorders>
          </w:tcPr>
          <w:p>
            <w:pPr>
              <w:pStyle w:val="TableParagraph"/>
              <w:spacing w:before="50"/>
              <w:ind w:left="971"/>
              <w:rPr>
                <w:rFonts w:ascii="Times New Roman"/>
                <w:sz w:val="21"/>
              </w:rPr>
            </w:pPr>
            <w:r>
              <w:rPr>
                <w:rFonts w:ascii="Times New Roman"/>
                <w:sz w:val="21"/>
              </w:rPr>
              <w:t>35.988</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4.00</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400</w:t>
            </w:r>
          </w:p>
        </w:tc>
        <w:tc>
          <w:tcPr>
            <w:tcW w:w="2523" w:type="dxa"/>
            <w:tcBorders>
              <w:top w:val="single" w:sz="2" w:space="0" w:color="000000"/>
              <w:bottom w:val="single" w:sz="2" w:space="0" w:color="000000"/>
            </w:tcBorders>
          </w:tcPr>
          <w:p>
            <w:pPr>
              <w:pStyle w:val="TableParagraph"/>
              <w:spacing w:before="51"/>
              <w:ind w:left="971"/>
              <w:rPr>
                <w:rFonts w:ascii="Times New Roman"/>
                <w:sz w:val="21"/>
              </w:rPr>
            </w:pPr>
            <w:r>
              <w:rPr>
                <w:rFonts w:ascii="Times New Roman"/>
                <w:sz w:val="21"/>
              </w:rPr>
              <w:t>31.581</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3.51</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500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29.483</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3.28</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600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22.967</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2.55</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700</w:t>
            </w:r>
          </w:p>
        </w:tc>
        <w:tc>
          <w:tcPr>
            <w:tcW w:w="2523" w:type="dxa"/>
            <w:tcBorders>
              <w:top w:val="single" w:sz="2" w:space="0" w:color="000000"/>
              <w:bottom w:val="single" w:sz="2" w:space="0" w:color="000000"/>
            </w:tcBorders>
          </w:tcPr>
          <w:p>
            <w:pPr>
              <w:pStyle w:val="TableParagraph"/>
              <w:spacing w:before="50"/>
              <w:ind w:left="971"/>
              <w:rPr>
                <w:rFonts w:ascii="Times New Roman"/>
                <w:sz w:val="21"/>
              </w:rPr>
            </w:pPr>
            <w:r>
              <w:rPr>
                <w:rFonts w:ascii="Times New Roman"/>
                <w:sz w:val="21"/>
              </w:rPr>
              <w:t>18.609</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2.07</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800</w:t>
            </w:r>
          </w:p>
        </w:tc>
        <w:tc>
          <w:tcPr>
            <w:tcW w:w="2523" w:type="dxa"/>
            <w:tcBorders>
              <w:top w:val="single" w:sz="2" w:space="0" w:color="000000"/>
              <w:bottom w:val="single" w:sz="2" w:space="0" w:color="000000"/>
            </w:tcBorders>
          </w:tcPr>
          <w:p>
            <w:pPr>
              <w:pStyle w:val="TableParagraph"/>
              <w:spacing w:before="51"/>
              <w:ind w:left="971"/>
              <w:rPr>
                <w:rFonts w:ascii="Times New Roman"/>
                <w:sz w:val="21"/>
              </w:rPr>
            </w:pPr>
            <w:r>
              <w:rPr>
                <w:rFonts w:ascii="Times New Roman"/>
                <w:sz w:val="21"/>
              </w:rPr>
              <w:t>15.511</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1.72</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900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13.200</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1.47</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6"/>
              <w:ind w:left="390" w:right="381"/>
              <w:jc w:val="center"/>
              <w:rPr>
                <w:rFonts w:ascii="Times New Roman"/>
                <w:sz w:val="21"/>
              </w:rPr>
            </w:pPr>
            <w:r>
              <w:rPr>
                <w:rFonts w:ascii="Times New Roman"/>
                <w:sz w:val="21"/>
              </w:rPr>
              <w:t>1000</w:t>
            </w:r>
          </w:p>
        </w:tc>
        <w:tc>
          <w:tcPr>
            <w:tcW w:w="2523" w:type="dxa"/>
            <w:tcBorders>
              <w:top w:val="single" w:sz="2" w:space="0" w:color="000000"/>
              <w:bottom w:val="single" w:sz="2" w:space="0" w:color="000000"/>
            </w:tcBorders>
          </w:tcPr>
          <w:p>
            <w:pPr>
              <w:pStyle w:val="TableParagraph"/>
              <w:spacing w:before="52"/>
              <w:ind w:left="971"/>
              <w:rPr>
                <w:rFonts w:ascii="Times New Roman"/>
                <w:sz w:val="21"/>
              </w:rPr>
            </w:pPr>
            <w:r>
              <w:rPr>
                <w:rFonts w:ascii="Times New Roman"/>
                <w:sz w:val="21"/>
              </w:rPr>
              <w:t>11.426</w:t>
            </w:r>
          </w:p>
        </w:tc>
        <w:tc>
          <w:tcPr>
            <w:tcW w:w="1798" w:type="dxa"/>
            <w:tcBorders>
              <w:top w:val="single" w:sz="2" w:space="0" w:color="000000"/>
              <w:bottom w:val="single" w:sz="2" w:space="0" w:color="000000"/>
              <w:right w:val="nil"/>
            </w:tcBorders>
          </w:tcPr>
          <w:p>
            <w:pPr>
              <w:pStyle w:val="TableParagraph"/>
              <w:spacing w:before="69"/>
              <w:ind w:left="268" w:right="259"/>
              <w:jc w:val="center"/>
              <w:rPr>
                <w:rFonts w:ascii="Times New Roman"/>
                <w:sz w:val="21"/>
              </w:rPr>
            </w:pPr>
            <w:r>
              <w:rPr>
                <w:rFonts w:ascii="Times New Roman"/>
                <w:sz w:val="21"/>
              </w:rPr>
              <w:t>1.27</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7"/>
              <w:ind w:left="390" w:right="381"/>
              <w:jc w:val="center"/>
              <w:rPr>
                <w:rFonts w:ascii="Times New Roman"/>
                <w:sz w:val="21"/>
              </w:rPr>
            </w:pPr>
            <w:r>
              <w:rPr>
                <w:rFonts w:ascii="Times New Roman"/>
                <w:sz w:val="21"/>
              </w:rPr>
              <w:t>1200</w:t>
            </w:r>
          </w:p>
        </w:tc>
        <w:tc>
          <w:tcPr>
            <w:tcW w:w="2523" w:type="dxa"/>
            <w:tcBorders>
              <w:top w:val="single" w:sz="2" w:space="0" w:color="000000"/>
              <w:bottom w:val="single" w:sz="2" w:space="0" w:color="000000"/>
            </w:tcBorders>
          </w:tcPr>
          <w:p>
            <w:pPr>
              <w:pStyle w:val="TableParagraph"/>
              <w:spacing w:before="52"/>
              <w:ind w:left="1024"/>
              <w:rPr>
                <w:rFonts w:ascii="Times New Roman"/>
                <w:sz w:val="21"/>
              </w:rPr>
            </w:pPr>
            <w:r>
              <w:rPr>
                <w:rFonts w:ascii="Times New Roman"/>
                <w:sz w:val="21"/>
              </w:rPr>
              <w:t>8.244</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0.92</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5"/>
              <w:ind w:left="390" w:right="381"/>
              <w:jc w:val="center"/>
              <w:rPr>
                <w:rFonts w:ascii="Times New Roman"/>
                <w:sz w:val="21"/>
              </w:rPr>
            </w:pPr>
            <w:r>
              <w:rPr>
                <w:rFonts w:ascii="Times New Roman"/>
                <w:sz w:val="21"/>
              </w:rPr>
              <w:t>1500</w:t>
            </w:r>
          </w:p>
        </w:tc>
        <w:tc>
          <w:tcPr>
            <w:tcW w:w="2523" w:type="dxa"/>
            <w:tcBorders>
              <w:top w:val="single" w:sz="2" w:space="0" w:color="000000"/>
              <w:bottom w:val="single" w:sz="2" w:space="0" w:color="000000"/>
            </w:tcBorders>
          </w:tcPr>
          <w:p>
            <w:pPr>
              <w:pStyle w:val="TableParagraph"/>
              <w:spacing w:before="53"/>
              <w:ind w:left="1024"/>
              <w:rPr>
                <w:rFonts w:ascii="Times New Roman"/>
                <w:sz w:val="21"/>
              </w:rPr>
            </w:pPr>
            <w:r>
              <w:rPr>
                <w:rFonts w:ascii="Times New Roman"/>
                <w:sz w:val="21"/>
              </w:rPr>
              <w:t>5.572</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0.62</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5"/>
              <w:ind w:left="390" w:right="381"/>
              <w:jc w:val="center"/>
              <w:rPr>
                <w:rFonts w:ascii="Times New Roman"/>
                <w:sz w:val="21"/>
              </w:rPr>
            </w:pPr>
            <w:r>
              <w:rPr>
                <w:rFonts w:ascii="Times New Roman"/>
                <w:sz w:val="21"/>
              </w:rPr>
              <w:t>1800</w:t>
            </w:r>
          </w:p>
        </w:tc>
        <w:tc>
          <w:tcPr>
            <w:tcW w:w="2523" w:type="dxa"/>
            <w:tcBorders>
              <w:top w:val="single" w:sz="2" w:space="0" w:color="000000"/>
              <w:bottom w:val="single" w:sz="2" w:space="0" w:color="000000"/>
            </w:tcBorders>
          </w:tcPr>
          <w:p>
            <w:pPr>
              <w:pStyle w:val="TableParagraph"/>
              <w:spacing w:before="51"/>
              <w:ind w:left="1024"/>
              <w:rPr>
                <w:rFonts w:ascii="Times New Roman"/>
                <w:sz w:val="21"/>
              </w:rPr>
            </w:pPr>
            <w:r>
              <w:rPr>
                <w:rFonts w:ascii="Times New Roman"/>
                <w:sz w:val="21"/>
              </w:rPr>
              <w:t>5.243</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0.58</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2000</w:t>
            </w:r>
          </w:p>
        </w:tc>
        <w:tc>
          <w:tcPr>
            <w:tcW w:w="2523" w:type="dxa"/>
            <w:tcBorders>
              <w:top w:val="single" w:sz="2" w:space="0" w:color="000000"/>
              <w:bottom w:val="single" w:sz="2" w:space="0" w:color="000000"/>
            </w:tcBorders>
          </w:tcPr>
          <w:p>
            <w:pPr>
              <w:pStyle w:val="TableParagraph"/>
              <w:spacing w:before="49"/>
              <w:ind w:left="1024"/>
              <w:rPr>
                <w:rFonts w:ascii="Times New Roman"/>
                <w:sz w:val="21"/>
              </w:rPr>
            </w:pPr>
            <w:r>
              <w:rPr>
                <w:rFonts w:ascii="Times New Roman"/>
                <w:sz w:val="21"/>
              </w:rPr>
              <w:t>4.726</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0.53</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2300</w:t>
            </w:r>
          </w:p>
        </w:tc>
        <w:tc>
          <w:tcPr>
            <w:tcW w:w="2523" w:type="dxa"/>
            <w:tcBorders>
              <w:top w:val="single" w:sz="2" w:space="0" w:color="000000"/>
              <w:bottom w:val="single" w:sz="2" w:space="0" w:color="000000"/>
            </w:tcBorders>
          </w:tcPr>
          <w:p>
            <w:pPr>
              <w:pStyle w:val="TableParagraph"/>
              <w:spacing w:before="49"/>
              <w:ind w:left="1024"/>
              <w:rPr>
                <w:rFonts w:ascii="Times New Roman"/>
                <w:sz w:val="21"/>
              </w:rPr>
            </w:pPr>
            <w:r>
              <w:rPr>
                <w:rFonts w:ascii="Times New Roman"/>
                <w:sz w:val="21"/>
              </w:rPr>
              <w:t>4.125</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0.46</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2500</w:t>
            </w:r>
          </w:p>
        </w:tc>
        <w:tc>
          <w:tcPr>
            <w:tcW w:w="2523" w:type="dxa"/>
            <w:tcBorders>
              <w:top w:val="single" w:sz="2" w:space="0" w:color="000000"/>
              <w:bottom w:val="single" w:sz="2" w:space="0" w:color="000000"/>
            </w:tcBorders>
          </w:tcPr>
          <w:p>
            <w:pPr>
              <w:pStyle w:val="TableParagraph"/>
              <w:spacing w:before="50"/>
              <w:ind w:left="1024"/>
              <w:rPr>
                <w:rFonts w:ascii="Times New Roman"/>
                <w:sz w:val="21"/>
              </w:rPr>
            </w:pPr>
            <w:r>
              <w:rPr>
                <w:rFonts w:ascii="Times New Roman"/>
                <w:sz w:val="21"/>
              </w:rPr>
              <w:t>3.558</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0.40</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51"/>
              <w:ind w:left="390" w:right="384"/>
              <w:jc w:val="center"/>
              <w:rPr>
                <w:sz w:val="21"/>
              </w:rPr>
            </w:pPr>
            <w:r>
              <w:rPr>
                <w:sz w:val="21"/>
              </w:rPr>
              <w:t>最大落地浓度及占标率</w:t>
            </w:r>
          </w:p>
        </w:tc>
        <w:tc>
          <w:tcPr>
            <w:tcW w:w="2523" w:type="dxa"/>
            <w:tcBorders>
              <w:top w:val="single" w:sz="2" w:space="0" w:color="000000"/>
              <w:bottom w:val="single" w:sz="2" w:space="0" w:color="000000"/>
            </w:tcBorders>
          </w:tcPr>
          <w:p>
            <w:pPr>
              <w:pStyle w:val="TableParagraph"/>
              <w:spacing w:before="50"/>
              <w:ind w:left="971"/>
              <w:rPr>
                <w:rFonts w:ascii="Times New Roman"/>
                <w:b/>
                <w:sz w:val="21"/>
              </w:rPr>
            </w:pPr>
            <w:r>
              <w:rPr>
                <w:rFonts w:ascii="Times New Roman"/>
                <w:b/>
                <w:sz w:val="21"/>
              </w:rPr>
              <w:t>44.896</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5.12</w:t>
            </w:r>
          </w:p>
        </w:tc>
        <w:tc>
          <w:tcPr>
            <w:tcW w:w="1158" w:type="dxa"/>
            <w:vMerge/>
            <w:tcBorders>
              <w:top w:val="nil"/>
              <w:left w:val="nil"/>
              <w:bottom w:val="nil"/>
            </w:tcBorders>
          </w:tcPr>
          <w:p>
            <w:pPr>
              <w:rPr>
                <w:sz w:val="2"/>
                <w:szCs w:val="2"/>
              </w:rPr>
            </w:pPr>
          </w:p>
        </w:tc>
      </w:tr>
      <w:tr>
        <w:trPr>
          <w:trHeight w:val="339"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12" w:space="0" w:color="000000"/>
            </w:tcBorders>
          </w:tcPr>
          <w:p>
            <w:pPr>
              <w:pStyle w:val="TableParagraph"/>
              <w:spacing w:before="49"/>
              <w:ind w:left="390" w:right="384"/>
              <w:jc w:val="center"/>
              <w:rPr>
                <w:sz w:val="21"/>
              </w:rPr>
            </w:pPr>
            <w:r>
              <w:rPr>
                <w:sz w:val="21"/>
              </w:rPr>
              <w:t>最大落地浓度距源距离</w:t>
            </w:r>
          </w:p>
        </w:tc>
        <w:tc>
          <w:tcPr>
            <w:tcW w:w="4321" w:type="dxa"/>
            <w:gridSpan w:val="2"/>
            <w:tcBorders>
              <w:top w:val="single" w:sz="2" w:space="0" w:color="000000"/>
              <w:bottom w:val="single" w:sz="12" w:space="0" w:color="000000"/>
              <w:right w:val="nil"/>
            </w:tcBorders>
          </w:tcPr>
          <w:p>
            <w:pPr>
              <w:pStyle w:val="TableParagraph"/>
              <w:spacing w:before="63"/>
              <w:ind w:left="1984" w:right="1977"/>
              <w:jc w:val="center"/>
              <w:rPr>
                <w:rFonts w:ascii="Times New Roman"/>
                <w:sz w:val="21"/>
              </w:rPr>
            </w:pPr>
            <w:r>
              <w:rPr>
                <w:rFonts w:ascii="Times New Roman"/>
                <w:sz w:val="21"/>
              </w:rPr>
              <w:t>154</w:t>
            </w:r>
          </w:p>
        </w:tc>
        <w:tc>
          <w:tcPr>
            <w:tcW w:w="1158" w:type="dxa"/>
            <w:vMerge/>
            <w:tcBorders>
              <w:top w:val="nil"/>
              <w:left w:val="nil"/>
              <w:bottom w:val="nil"/>
            </w:tcBorders>
          </w:tcPr>
          <w:p>
            <w:pPr>
              <w:rPr>
                <w:sz w:val="2"/>
                <w:szCs w:val="2"/>
              </w:rPr>
            </w:pPr>
          </w:p>
        </w:tc>
      </w:tr>
      <w:tr>
        <w:trPr>
          <w:trHeight w:val="7598" w:hRule="atLeast"/>
        </w:trPr>
        <w:tc>
          <w:tcPr>
            <w:tcW w:w="9555" w:type="dxa"/>
            <w:gridSpan w:val="5"/>
            <w:tcBorders>
              <w:top w:val="nil"/>
            </w:tcBorders>
          </w:tcPr>
          <w:p>
            <w:pPr>
              <w:pStyle w:val="TableParagraph"/>
              <w:spacing w:before="146"/>
              <w:ind w:left="588"/>
              <w:rPr>
                <w:sz w:val="24"/>
              </w:rPr>
            </w:pPr>
            <w:r>
              <w:rPr>
                <w:rFonts w:ascii="Times New Roman" w:eastAsia="Times New Roman"/>
                <w:sz w:val="24"/>
              </w:rPr>
              <w:t>3</w:t>
            </w:r>
            <w:r>
              <w:rPr>
                <w:sz w:val="24"/>
              </w:rPr>
              <w:t>、评价等级判定及评价范围</w:t>
            </w:r>
          </w:p>
          <w:p>
            <w:pPr>
              <w:pStyle w:val="TableParagraph"/>
              <w:spacing w:before="173"/>
              <w:ind w:left="588"/>
              <w:rPr>
                <w:sz w:val="24"/>
              </w:rPr>
            </w:pPr>
            <w:r>
              <w:rPr>
                <w:spacing w:val="-5"/>
                <w:sz w:val="24"/>
              </w:rPr>
              <w:t>由表 </w:t>
            </w:r>
            <w:r>
              <w:rPr>
                <w:rFonts w:ascii="Times New Roman" w:eastAsia="Times New Roman"/>
                <w:sz w:val="24"/>
              </w:rPr>
              <w:t>7.3</w:t>
            </w:r>
            <w:r>
              <w:rPr>
                <w:rFonts w:ascii="Times New Roman" w:eastAsia="Times New Roman"/>
                <w:spacing w:val="24"/>
                <w:sz w:val="24"/>
              </w:rPr>
              <w:t> </w:t>
            </w:r>
            <w:r>
              <w:rPr>
                <w:spacing w:val="9"/>
                <w:sz w:val="24"/>
              </w:rPr>
              <w:t>可知， 本项目矿区无组织排放的颗粒物下风向最大浓度占标率最大，</w:t>
            </w:r>
          </w:p>
          <w:p>
            <w:pPr>
              <w:pStyle w:val="TableParagraph"/>
              <w:spacing w:before="172"/>
              <w:ind w:left="108"/>
              <w:rPr>
                <w:sz w:val="24"/>
              </w:rPr>
            </w:pPr>
            <w:r>
              <w:rPr>
                <w:rFonts w:ascii="Times New Roman" w:eastAsia="Times New Roman"/>
                <w:sz w:val="24"/>
              </w:rPr>
              <w:t>Pmax=5.12%</w:t>
            </w:r>
            <w:r>
              <w:rPr>
                <w:sz w:val="24"/>
              </w:rPr>
              <w:t>，根据《环境影响评价技术导则 大气环境》（</w:t>
            </w:r>
            <w:r>
              <w:rPr>
                <w:rFonts w:ascii="Times New Roman" w:eastAsia="Times New Roman"/>
                <w:sz w:val="24"/>
              </w:rPr>
              <w:t>HJ2.2-2018</w:t>
            </w:r>
            <w:r>
              <w:rPr>
                <w:sz w:val="24"/>
              </w:rPr>
              <w:t>）评价等级判别表</w:t>
            </w:r>
          </w:p>
          <w:p>
            <w:pPr>
              <w:pStyle w:val="TableParagraph"/>
              <w:spacing w:before="173"/>
              <w:ind w:left="108"/>
              <w:rPr>
                <w:sz w:val="24"/>
              </w:rPr>
            </w:pPr>
            <w:r>
              <w:rPr>
                <w:sz w:val="24"/>
              </w:rPr>
              <w:t>（见表 </w:t>
            </w:r>
            <w:r>
              <w:rPr>
                <w:rFonts w:ascii="Times New Roman" w:eastAsia="Times New Roman"/>
                <w:sz w:val="24"/>
              </w:rPr>
              <w:t>7.4</w:t>
            </w:r>
            <w:r>
              <w:rPr>
                <w:sz w:val="24"/>
              </w:rPr>
              <w:t>），本项目大气评价工作等级为二级评级。</w:t>
            </w:r>
          </w:p>
          <w:p>
            <w:pPr>
              <w:pStyle w:val="TableParagraph"/>
              <w:tabs>
                <w:tab w:pos="790" w:val="left" w:leader="none"/>
              </w:tabs>
              <w:spacing w:before="172"/>
              <w:ind w:left="10"/>
              <w:jc w:val="center"/>
              <w:rPr>
                <w:b/>
                <w:sz w:val="24"/>
              </w:rPr>
            </w:pPr>
            <w:r>
              <w:rPr>
                <w:b/>
                <w:sz w:val="24"/>
              </w:rPr>
              <w:t>表</w:t>
            </w:r>
            <w:r>
              <w:rPr>
                <w:rFonts w:ascii="Times New Roman" w:eastAsia="Times New Roman"/>
                <w:b/>
                <w:sz w:val="24"/>
              </w:rPr>
              <w:t>7.4</w:t>
              <w:tab/>
            </w:r>
            <w:r>
              <w:rPr>
                <w:b/>
                <w:sz w:val="24"/>
              </w:rPr>
              <w:t>评价等级判别表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1"/>
              <w:rPr>
                <w:rFonts w:ascii="黑体"/>
                <w:sz w:val="24"/>
              </w:rPr>
            </w:pPr>
          </w:p>
          <w:p>
            <w:pPr>
              <w:pStyle w:val="TableParagraph"/>
              <w:spacing w:line="374" w:lineRule="auto" w:before="1"/>
              <w:ind w:left="108" w:right="95" w:firstLine="480"/>
              <w:rPr>
                <w:sz w:val="24"/>
              </w:rPr>
            </w:pPr>
            <w:r>
              <w:rPr>
                <w:spacing w:val="-6"/>
                <w:sz w:val="24"/>
              </w:rPr>
              <w:t>根据导则，二级评价项目大气环境影响评价范围边长取 </w:t>
            </w:r>
            <w:r>
              <w:rPr>
                <w:rFonts w:ascii="Times New Roman" w:eastAsia="Times New Roman"/>
                <w:spacing w:val="-4"/>
                <w:sz w:val="24"/>
              </w:rPr>
              <w:t>5km</w:t>
            </w:r>
            <w:r>
              <w:rPr>
                <w:spacing w:val="-4"/>
                <w:sz w:val="24"/>
              </w:rPr>
              <w:t>，即以本项目所在地外延</w:t>
            </w:r>
            <w:r>
              <w:rPr>
                <w:rFonts w:ascii="Times New Roman" w:eastAsia="Times New Roman"/>
                <w:sz w:val="24"/>
              </w:rPr>
              <w:t>2.5km </w:t>
            </w:r>
            <w:r>
              <w:rPr>
                <w:sz w:val="24"/>
              </w:rPr>
              <w:t>的矩形区域。</w:t>
            </w:r>
          </w:p>
          <w:p>
            <w:pPr>
              <w:pStyle w:val="TableParagraph"/>
              <w:spacing w:line="291" w:lineRule="exact"/>
              <w:ind w:left="588"/>
              <w:rPr>
                <w:sz w:val="24"/>
              </w:rPr>
            </w:pPr>
            <w:r>
              <w:rPr>
                <w:rFonts w:ascii="Times New Roman" w:eastAsia="Times New Roman"/>
                <w:sz w:val="24"/>
              </w:rPr>
              <w:t>4</w:t>
            </w:r>
            <w:r>
              <w:rPr>
                <w:sz w:val="24"/>
              </w:rPr>
              <w:t>、其它废气环境影响分析</w:t>
            </w:r>
          </w:p>
          <w:p>
            <w:pPr>
              <w:pStyle w:val="TableParagraph"/>
              <w:spacing w:before="153"/>
              <w:ind w:left="588"/>
              <w:rPr>
                <w:sz w:val="24"/>
              </w:rPr>
            </w:pPr>
            <w:r>
              <w:rPr>
                <w:sz w:val="24"/>
              </w:rPr>
              <w:t>（</w:t>
            </w:r>
            <w:r>
              <w:rPr>
                <w:rFonts w:ascii="Times New Roman" w:eastAsia="Times New Roman"/>
                <w:sz w:val="24"/>
              </w:rPr>
              <w:t>1</w:t>
            </w:r>
            <w:r>
              <w:rPr>
                <w:sz w:val="24"/>
              </w:rPr>
              <w:t>）开采、装卸粉尘</w:t>
            </w:r>
          </w:p>
          <w:p>
            <w:pPr>
              <w:pStyle w:val="TableParagraph"/>
              <w:spacing w:line="357" w:lineRule="auto" w:before="153"/>
              <w:ind w:left="108" w:right="93" w:firstLine="480"/>
              <w:jc w:val="both"/>
              <w:rPr>
                <w:sz w:val="24"/>
              </w:rPr>
            </w:pPr>
            <w:r>
              <w:rPr>
                <w:spacing w:val="-3"/>
                <w:sz w:val="24"/>
              </w:rPr>
              <w:t>本项目利用挖掘机剥离表层植被、挖矿过程以及装载过程中会产生无组织粉尘，主要</w:t>
            </w:r>
            <w:r>
              <w:rPr>
                <w:spacing w:val="-4"/>
                <w:sz w:val="24"/>
              </w:rPr>
              <w:t>影响是集中在采区作业面，影响范围有限。建设单位拟通过加大采矿场洒水降尘次数、安</w:t>
            </w:r>
            <w:r>
              <w:rPr>
                <w:spacing w:val="-5"/>
                <w:sz w:val="24"/>
              </w:rPr>
              <w:t>装喷雾洒水装置等措施，以降低扬尘排放。通过以上措施，可有效减少开采、装卸过程粉</w:t>
            </w:r>
          </w:p>
          <w:p>
            <w:pPr>
              <w:pStyle w:val="TableParagraph"/>
              <w:spacing w:before="6"/>
              <w:ind w:left="108"/>
              <w:rPr>
                <w:sz w:val="24"/>
              </w:rPr>
            </w:pPr>
            <w:r>
              <w:rPr>
                <w:sz w:val="24"/>
              </w:rPr>
              <w:t>尘对周围环境空气的影响。</w:t>
            </w:r>
          </w:p>
        </w:tc>
      </w:tr>
    </w:tbl>
    <w:p>
      <w:pPr>
        <w:rPr>
          <w:sz w:val="2"/>
          <w:szCs w:val="2"/>
        </w:rPr>
      </w:pPr>
      <w:r>
        <w:rPr/>
        <w:pict>
          <v:shape style="position:absolute;margin-left:151.080002pt;margin-top:515.350037pt;width:301pt;height:73.45pt;mso-position-horizontal-relative:page;mso-position-vertical-relative:page;z-index:251683840"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82"/>
                    <w:gridCol w:w="2894"/>
                  </w:tblGrid>
                  <w:tr>
                    <w:trPr>
                      <w:trHeight w:val="340" w:hRule="atLeast"/>
                    </w:trPr>
                    <w:tc>
                      <w:tcPr>
                        <w:tcW w:w="3082" w:type="dxa"/>
                        <w:tcBorders>
                          <w:left w:val="nil"/>
                          <w:right w:val="single" w:sz="4" w:space="0" w:color="000000"/>
                        </w:tcBorders>
                      </w:tcPr>
                      <w:p>
                        <w:pPr>
                          <w:pStyle w:val="TableParagraph"/>
                          <w:spacing w:before="33"/>
                          <w:ind w:left="905" w:right="867"/>
                          <w:jc w:val="center"/>
                          <w:rPr>
                            <w:b/>
                            <w:sz w:val="21"/>
                          </w:rPr>
                        </w:pPr>
                        <w:r>
                          <w:rPr>
                            <w:b/>
                            <w:sz w:val="21"/>
                          </w:rPr>
                          <w:t>评价工作等级</w:t>
                        </w:r>
                      </w:p>
                    </w:tc>
                    <w:tc>
                      <w:tcPr>
                        <w:tcW w:w="2894" w:type="dxa"/>
                        <w:tcBorders>
                          <w:left w:val="single" w:sz="4" w:space="0" w:color="000000"/>
                          <w:right w:val="nil"/>
                        </w:tcBorders>
                      </w:tcPr>
                      <w:p>
                        <w:pPr>
                          <w:pStyle w:val="TableParagraph"/>
                          <w:spacing w:before="33"/>
                          <w:ind w:left="595" w:right="567"/>
                          <w:jc w:val="center"/>
                          <w:rPr>
                            <w:b/>
                            <w:sz w:val="21"/>
                          </w:rPr>
                        </w:pPr>
                        <w:r>
                          <w:rPr>
                            <w:b/>
                            <w:sz w:val="21"/>
                          </w:rPr>
                          <w:t>评价工作分级判据</w:t>
                        </w:r>
                      </w:p>
                    </w:tc>
                  </w:tr>
                  <w:tr>
                    <w:trPr>
                      <w:trHeight w:val="340" w:hRule="atLeast"/>
                    </w:trPr>
                    <w:tc>
                      <w:tcPr>
                        <w:tcW w:w="3082" w:type="dxa"/>
                        <w:tcBorders>
                          <w:left w:val="nil"/>
                          <w:bottom w:val="single" w:sz="4" w:space="0" w:color="000000"/>
                          <w:right w:val="single" w:sz="4" w:space="0" w:color="000000"/>
                        </w:tcBorders>
                      </w:tcPr>
                      <w:p>
                        <w:pPr>
                          <w:pStyle w:val="TableParagraph"/>
                          <w:spacing w:before="33"/>
                          <w:ind w:left="898" w:right="867"/>
                          <w:jc w:val="center"/>
                          <w:rPr>
                            <w:sz w:val="21"/>
                          </w:rPr>
                        </w:pPr>
                        <w:r>
                          <w:rPr>
                            <w:sz w:val="21"/>
                          </w:rPr>
                          <w:t>一级评价</w:t>
                        </w:r>
                      </w:p>
                    </w:tc>
                    <w:tc>
                      <w:tcPr>
                        <w:tcW w:w="2894" w:type="dxa"/>
                        <w:tcBorders>
                          <w:left w:val="single" w:sz="4" w:space="0" w:color="000000"/>
                          <w:bottom w:val="single" w:sz="4" w:space="0" w:color="000000"/>
                          <w:right w:val="nil"/>
                        </w:tcBorders>
                      </w:tcPr>
                      <w:p>
                        <w:pPr>
                          <w:pStyle w:val="TableParagraph"/>
                          <w:spacing w:before="49"/>
                          <w:ind w:left="594" w:right="567"/>
                          <w:jc w:val="center"/>
                          <w:rPr>
                            <w:rFonts w:ascii="Times New Roman" w:hAnsi="Times New Roman"/>
                            <w:sz w:val="21"/>
                          </w:rPr>
                        </w:pPr>
                        <w:r>
                          <w:rPr>
                            <w:rFonts w:ascii="Times New Roman" w:hAnsi="Times New Roman"/>
                            <w:sz w:val="21"/>
                          </w:rPr>
                          <w:t>Pmax≥10%</w:t>
                        </w:r>
                      </w:p>
                    </w:tc>
                  </w:tr>
                  <w:tr>
                    <w:trPr>
                      <w:trHeight w:val="340" w:hRule="atLeast"/>
                    </w:trPr>
                    <w:tc>
                      <w:tcPr>
                        <w:tcW w:w="3082" w:type="dxa"/>
                        <w:tcBorders>
                          <w:top w:val="single" w:sz="4" w:space="0" w:color="000000"/>
                          <w:left w:val="nil"/>
                          <w:bottom w:val="single" w:sz="4" w:space="0" w:color="000000"/>
                          <w:right w:val="single" w:sz="4" w:space="0" w:color="000000"/>
                        </w:tcBorders>
                      </w:tcPr>
                      <w:p>
                        <w:pPr>
                          <w:pStyle w:val="TableParagraph"/>
                          <w:spacing w:before="33"/>
                          <w:ind w:left="898" w:right="867"/>
                          <w:jc w:val="center"/>
                          <w:rPr>
                            <w:sz w:val="21"/>
                          </w:rPr>
                        </w:pPr>
                        <w:r>
                          <w:rPr>
                            <w:sz w:val="21"/>
                          </w:rPr>
                          <w:t>二级评价</w:t>
                        </w:r>
                      </w:p>
                    </w:tc>
                    <w:tc>
                      <w:tcPr>
                        <w:tcW w:w="2894" w:type="dxa"/>
                        <w:tcBorders>
                          <w:top w:val="single" w:sz="4" w:space="0" w:color="000000"/>
                          <w:left w:val="single" w:sz="4" w:space="0" w:color="000000"/>
                          <w:bottom w:val="single" w:sz="4" w:space="0" w:color="000000"/>
                          <w:right w:val="nil"/>
                        </w:tcBorders>
                      </w:tcPr>
                      <w:p>
                        <w:pPr>
                          <w:pStyle w:val="TableParagraph"/>
                          <w:spacing w:before="33"/>
                          <w:ind w:left="594" w:right="567"/>
                          <w:jc w:val="center"/>
                          <w:rPr>
                            <w:rFonts w:ascii="Times New Roman" w:hAnsi="Times New Roman" w:eastAsia="Times New Roman"/>
                            <w:sz w:val="21"/>
                          </w:rPr>
                        </w:pPr>
                        <w:r>
                          <w:rPr>
                            <w:rFonts w:ascii="Times New Roman" w:hAnsi="Times New Roman" w:eastAsia="Times New Roman"/>
                            <w:sz w:val="21"/>
                          </w:rPr>
                          <w:t>1%≤Pmax</w:t>
                        </w:r>
                        <w:r>
                          <w:rPr>
                            <w:sz w:val="21"/>
                          </w:rPr>
                          <w:t>＜</w:t>
                        </w:r>
                        <w:r>
                          <w:rPr>
                            <w:rFonts w:ascii="Times New Roman" w:hAnsi="Times New Roman" w:eastAsia="Times New Roman"/>
                            <w:sz w:val="21"/>
                          </w:rPr>
                          <w:t>10%</w:t>
                        </w:r>
                      </w:p>
                    </w:tc>
                  </w:tr>
                  <w:tr>
                    <w:trPr>
                      <w:trHeight w:val="339" w:hRule="atLeast"/>
                    </w:trPr>
                    <w:tc>
                      <w:tcPr>
                        <w:tcW w:w="3082" w:type="dxa"/>
                        <w:tcBorders>
                          <w:top w:val="single" w:sz="4" w:space="0" w:color="000000"/>
                          <w:left w:val="nil"/>
                          <w:right w:val="single" w:sz="4" w:space="0" w:color="000000"/>
                        </w:tcBorders>
                      </w:tcPr>
                      <w:p>
                        <w:pPr>
                          <w:pStyle w:val="TableParagraph"/>
                          <w:spacing w:before="33"/>
                          <w:ind w:left="898" w:right="867"/>
                          <w:jc w:val="center"/>
                          <w:rPr>
                            <w:sz w:val="21"/>
                          </w:rPr>
                        </w:pPr>
                        <w:r>
                          <w:rPr>
                            <w:sz w:val="21"/>
                          </w:rPr>
                          <w:t>三级评价</w:t>
                        </w:r>
                      </w:p>
                    </w:tc>
                    <w:tc>
                      <w:tcPr>
                        <w:tcW w:w="2894" w:type="dxa"/>
                        <w:tcBorders>
                          <w:top w:val="single" w:sz="4" w:space="0" w:color="000000"/>
                          <w:left w:val="single" w:sz="4" w:space="0" w:color="000000"/>
                          <w:right w:val="nil"/>
                        </w:tcBorders>
                      </w:tcPr>
                      <w:p>
                        <w:pPr>
                          <w:pStyle w:val="TableParagraph"/>
                          <w:spacing w:before="33"/>
                          <w:ind w:left="591" w:right="567"/>
                          <w:jc w:val="center"/>
                          <w:rPr>
                            <w:rFonts w:ascii="Times New Roman" w:eastAsia="Times New Roman"/>
                            <w:sz w:val="21"/>
                          </w:rPr>
                        </w:pPr>
                        <w:r>
                          <w:rPr>
                            <w:rFonts w:ascii="Times New Roman" w:eastAsia="Times New Roman"/>
                            <w:sz w:val="21"/>
                          </w:rPr>
                          <w:t>Pmax</w:t>
                        </w:r>
                        <w:r>
                          <w:rPr>
                            <w:sz w:val="21"/>
                          </w:rPr>
                          <w:t>＜</w:t>
                        </w:r>
                        <w:r>
                          <w:rPr>
                            <w:rFonts w:ascii="Times New Roman" w:eastAsia="Times New Roman"/>
                            <w:sz w:val="21"/>
                          </w:rPr>
                          <w:t>1%</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ListParagraph"/>
        <w:numPr>
          <w:ilvl w:val="0"/>
          <w:numId w:val="13"/>
        </w:numPr>
        <w:tabs>
          <w:tab w:pos="1417" w:val="left" w:leader="none"/>
        </w:tabs>
        <w:spacing w:line="240" w:lineRule="auto" w:before="147" w:after="0"/>
        <w:ind w:left="1417" w:right="0" w:hanging="601"/>
        <w:jc w:val="left"/>
        <w:rPr>
          <w:sz w:val="24"/>
        </w:rPr>
      </w:pPr>
      <w:r>
        <w:rPr/>
        <w:pict>
          <v:shape style="position:absolute;margin-left:62.110001pt;margin-top:65.760010pt;width:478.25pt;height:713.85pt;mso-position-horizontal-relative:page;mso-position-vertical-relative:page;z-index:-256966656" coordorigin="1242,1315" coordsize="9565,14277" path="m1242,1252l10807,1252m1242,15524l10807,15524m1247,1247l1247,15519m10802,1247l10802,15519e" filled="false" stroked="true" strokeweight=".48pt" strokecolor="#000000">
            <v:path arrowok="t"/>
            <v:stroke dashstyle="solid"/>
            <w10:wrap type="none"/>
          </v:shape>
        </w:pict>
      </w:r>
      <w:r>
        <w:rPr>
          <w:sz w:val="24"/>
        </w:rPr>
        <w:t>运输扬尘</w:t>
      </w:r>
    </w:p>
    <w:p>
      <w:pPr>
        <w:pStyle w:val="BodyText"/>
        <w:spacing w:line="357" w:lineRule="auto" w:before="153"/>
        <w:ind w:left="335" w:right="330" w:firstLine="480"/>
      </w:pPr>
      <w:r>
        <w:rPr/>
        <w:t>挖掘机从矿区运至加工场地过程中由于碾压会产生一定量的扬尘。根据相关资料统计，一般矿山道路扬尘随距离变化的情况见表 </w:t>
      </w:r>
      <w:r>
        <w:rPr>
          <w:rFonts w:ascii="Times New Roman" w:eastAsia="Times New Roman"/>
        </w:rPr>
        <w:t>7.5</w:t>
      </w:r>
      <w:r>
        <w:rPr/>
        <w:t>。</w:t>
      </w:r>
    </w:p>
    <w:p>
      <w:pPr>
        <w:pStyle w:val="Heading2"/>
        <w:spacing w:before="3" w:after="24"/>
        <w:ind w:left="3084"/>
      </w:pPr>
      <w:r>
        <w:rPr/>
        <w:t>表 </w:t>
      </w:r>
      <w:r>
        <w:rPr>
          <w:rFonts w:ascii="Times New Roman" w:eastAsia="Times New Roman"/>
        </w:rPr>
        <w:t>7.5  </w:t>
      </w:r>
      <w:r>
        <w:rPr/>
        <w:t>矿山道路扬尘随距离变化情况</w:t>
      </w:r>
    </w:p>
    <w:tbl>
      <w:tblPr>
        <w:tblW w:w="0" w:type="auto"/>
        <w:jc w:val="left"/>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6"/>
        <w:gridCol w:w="1507"/>
        <w:gridCol w:w="1507"/>
        <w:gridCol w:w="1507"/>
        <w:gridCol w:w="1507"/>
        <w:gridCol w:w="1507"/>
      </w:tblGrid>
      <w:tr>
        <w:trPr>
          <w:trHeight w:val="312" w:hRule="atLeast"/>
        </w:trPr>
        <w:tc>
          <w:tcPr>
            <w:tcW w:w="1506" w:type="dxa"/>
            <w:vMerge w:val="restart"/>
            <w:tcBorders>
              <w:left w:val="nil"/>
              <w:bottom w:val="single" w:sz="4" w:space="0" w:color="000000"/>
              <w:right w:val="single" w:sz="4" w:space="0" w:color="000000"/>
            </w:tcBorders>
          </w:tcPr>
          <w:p>
            <w:pPr>
              <w:pStyle w:val="TableParagraph"/>
              <w:rPr>
                <w:b/>
                <w:sz w:val="15"/>
              </w:rPr>
            </w:pPr>
          </w:p>
          <w:p>
            <w:pPr>
              <w:pStyle w:val="TableParagraph"/>
              <w:ind w:left="346"/>
              <w:rPr>
                <w:sz w:val="21"/>
              </w:rPr>
            </w:pPr>
            <w:r>
              <w:rPr>
                <w:sz w:val="21"/>
              </w:rPr>
              <w:t>路面条件</w:t>
            </w:r>
          </w:p>
        </w:tc>
        <w:tc>
          <w:tcPr>
            <w:tcW w:w="7535" w:type="dxa"/>
            <w:gridSpan w:val="5"/>
            <w:tcBorders>
              <w:left w:val="single" w:sz="4" w:space="0" w:color="000000"/>
              <w:bottom w:val="single" w:sz="4" w:space="0" w:color="000000"/>
              <w:right w:val="nil"/>
            </w:tcBorders>
          </w:tcPr>
          <w:p>
            <w:pPr>
              <w:pStyle w:val="TableParagraph"/>
              <w:spacing w:before="22"/>
              <w:ind w:left="3287"/>
              <w:rPr>
                <w:sz w:val="21"/>
              </w:rPr>
            </w:pPr>
            <w:r>
              <w:rPr>
                <w:sz w:val="21"/>
              </w:rPr>
              <w:t>不同距离粉尘浓度（</w:t>
            </w:r>
            <w:r>
              <w:rPr>
                <w:rFonts w:ascii="Times New Roman" w:eastAsia="Times New Roman"/>
                <w:sz w:val="21"/>
              </w:rPr>
              <w:t>mg/m</w:t>
            </w:r>
            <w:r>
              <w:rPr>
                <w:rFonts w:ascii="Times New Roman" w:eastAsia="Times New Roman"/>
                <w:position w:val="7"/>
                <w:sz w:val="13"/>
              </w:rPr>
              <w:t>3</w:t>
            </w:r>
            <w:r>
              <w:rPr>
                <w:sz w:val="21"/>
              </w:rPr>
              <w:t>）</w:t>
            </w:r>
          </w:p>
        </w:tc>
      </w:tr>
      <w:tr>
        <w:trPr>
          <w:trHeight w:val="331" w:hRule="atLeast"/>
        </w:trPr>
        <w:tc>
          <w:tcPr>
            <w:tcW w:w="1506" w:type="dxa"/>
            <w:vMerge/>
            <w:tcBorders>
              <w:top w:val="nil"/>
              <w:left w:val="nil"/>
              <w:bottom w:val="single" w:sz="4" w:space="0" w:color="000000"/>
              <w:right w:val="single" w:sz="4" w:space="0" w:color="000000"/>
            </w:tcBorders>
          </w:tcPr>
          <w:p>
            <w:pPr>
              <w:rPr>
                <w:sz w:val="2"/>
                <w:szCs w:val="2"/>
              </w:rPr>
            </w:pP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75"/>
              <w:rPr>
                <w:rFonts w:ascii="Times New Roman"/>
                <w:sz w:val="21"/>
              </w:rPr>
            </w:pPr>
            <w:r>
              <w:rPr>
                <w:rFonts w:ascii="Times New Roman"/>
                <w:sz w:val="21"/>
              </w:rPr>
              <w:t>10m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03" w:right="475"/>
              <w:jc w:val="center"/>
              <w:rPr>
                <w:rFonts w:ascii="Times New Roman"/>
                <w:sz w:val="21"/>
              </w:rPr>
            </w:pPr>
            <w:r>
              <w:rPr>
                <w:rFonts w:ascii="Times New Roman"/>
                <w:sz w:val="21"/>
              </w:rPr>
              <w:t>50m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03" w:right="475"/>
              <w:jc w:val="center"/>
              <w:rPr>
                <w:rFonts w:ascii="Times New Roman"/>
                <w:sz w:val="21"/>
              </w:rPr>
            </w:pPr>
            <w:r>
              <w:rPr>
                <w:rFonts w:ascii="Times New Roman"/>
                <w:sz w:val="21"/>
              </w:rPr>
              <w:t>200m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23"/>
              <w:rPr>
                <w:rFonts w:ascii="Times New Roman"/>
                <w:sz w:val="21"/>
              </w:rPr>
            </w:pPr>
            <w:r>
              <w:rPr>
                <w:rFonts w:ascii="Times New Roman"/>
                <w:sz w:val="21"/>
              </w:rPr>
              <w:t>220m</w:t>
            </w:r>
          </w:p>
        </w:tc>
        <w:tc>
          <w:tcPr>
            <w:tcW w:w="1507" w:type="dxa"/>
            <w:tcBorders>
              <w:top w:val="single" w:sz="4" w:space="0" w:color="000000"/>
              <w:left w:val="single" w:sz="4" w:space="0" w:color="000000"/>
              <w:bottom w:val="single" w:sz="4" w:space="0" w:color="000000"/>
              <w:right w:val="nil"/>
            </w:tcBorders>
          </w:tcPr>
          <w:p>
            <w:pPr>
              <w:pStyle w:val="TableParagraph"/>
              <w:spacing w:before="54"/>
              <w:ind w:left="523"/>
              <w:rPr>
                <w:rFonts w:ascii="Times New Roman"/>
                <w:sz w:val="21"/>
              </w:rPr>
            </w:pPr>
            <w:r>
              <w:rPr>
                <w:rFonts w:ascii="Times New Roman"/>
                <w:sz w:val="21"/>
              </w:rPr>
              <w:t>250m</w:t>
            </w:r>
          </w:p>
        </w:tc>
      </w:tr>
      <w:tr>
        <w:trPr>
          <w:trHeight w:val="312" w:hRule="atLeast"/>
        </w:trPr>
        <w:tc>
          <w:tcPr>
            <w:tcW w:w="1506" w:type="dxa"/>
            <w:tcBorders>
              <w:top w:val="single" w:sz="4" w:space="0" w:color="000000"/>
              <w:left w:val="nil"/>
              <w:bottom w:val="single" w:sz="4" w:space="0" w:color="000000"/>
              <w:right w:val="single" w:sz="4" w:space="0" w:color="000000"/>
            </w:tcBorders>
          </w:tcPr>
          <w:p>
            <w:pPr>
              <w:pStyle w:val="TableParagraph"/>
              <w:spacing w:before="20"/>
              <w:ind w:left="325" w:right="296"/>
              <w:jc w:val="center"/>
              <w:rPr>
                <w:sz w:val="21"/>
              </w:rPr>
            </w:pPr>
            <w:r>
              <w:rPr>
                <w:sz w:val="21"/>
              </w:rPr>
              <w:t>干燥路面</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80"/>
              <w:rPr>
                <w:rFonts w:ascii="Times New Roman"/>
                <w:sz w:val="21"/>
              </w:rPr>
            </w:pPr>
            <w:r>
              <w:rPr>
                <w:rFonts w:ascii="Times New Roman"/>
                <w:sz w:val="21"/>
              </w:rPr>
              <w:t>5.85</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02" w:right="475"/>
              <w:jc w:val="center"/>
              <w:rPr>
                <w:rFonts w:ascii="Times New Roman"/>
                <w:sz w:val="21"/>
              </w:rPr>
            </w:pPr>
            <w:r>
              <w:rPr>
                <w:rFonts w:ascii="Times New Roman"/>
                <w:sz w:val="21"/>
              </w:rPr>
              <w:t>1.48</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03" w:right="475"/>
              <w:jc w:val="center"/>
              <w:rPr>
                <w:rFonts w:ascii="Times New Roman"/>
                <w:sz w:val="21"/>
              </w:rPr>
            </w:pPr>
            <w:r>
              <w:rPr>
                <w:rFonts w:ascii="Times New Roman"/>
                <w:sz w:val="21"/>
              </w:rPr>
              <w:t>0.60</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78"/>
              <w:rPr>
                <w:rFonts w:ascii="Times New Roman"/>
                <w:sz w:val="21"/>
              </w:rPr>
            </w:pPr>
            <w:r>
              <w:rPr>
                <w:rFonts w:ascii="Times New Roman"/>
                <w:sz w:val="21"/>
              </w:rPr>
              <w:t>0.50</w:t>
            </w:r>
          </w:p>
        </w:tc>
        <w:tc>
          <w:tcPr>
            <w:tcW w:w="1507" w:type="dxa"/>
            <w:tcBorders>
              <w:top w:val="single" w:sz="4" w:space="0" w:color="000000"/>
              <w:left w:val="single" w:sz="4" w:space="0" w:color="000000"/>
              <w:bottom w:val="single" w:sz="4" w:space="0" w:color="000000"/>
              <w:right w:val="nil"/>
            </w:tcBorders>
          </w:tcPr>
          <w:p>
            <w:pPr>
              <w:pStyle w:val="TableParagraph"/>
              <w:spacing w:before="34"/>
              <w:ind w:left="578"/>
              <w:rPr>
                <w:rFonts w:ascii="Times New Roman"/>
                <w:sz w:val="21"/>
              </w:rPr>
            </w:pPr>
            <w:r>
              <w:rPr>
                <w:rFonts w:ascii="Times New Roman"/>
                <w:sz w:val="21"/>
              </w:rPr>
              <w:t>0.35</w:t>
            </w:r>
          </w:p>
        </w:tc>
      </w:tr>
      <w:tr>
        <w:trPr>
          <w:trHeight w:val="311" w:hRule="atLeast"/>
        </w:trPr>
        <w:tc>
          <w:tcPr>
            <w:tcW w:w="1506" w:type="dxa"/>
            <w:tcBorders>
              <w:top w:val="single" w:sz="4" w:space="0" w:color="000000"/>
              <w:left w:val="nil"/>
              <w:right w:val="single" w:sz="4" w:space="0" w:color="000000"/>
            </w:tcBorders>
          </w:tcPr>
          <w:p>
            <w:pPr>
              <w:pStyle w:val="TableParagraph"/>
              <w:spacing w:before="22"/>
              <w:ind w:left="325" w:right="296"/>
              <w:jc w:val="center"/>
              <w:rPr>
                <w:sz w:val="21"/>
              </w:rPr>
            </w:pPr>
            <w:r>
              <w:rPr>
                <w:sz w:val="21"/>
              </w:rPr>
              <w:t>洒水路面</w:t>
            </w:r>
          </w:p>
        </w:tc>
        <w:tc>
          <w:tcPr>
            <w:tcW w:w="1507" w:type="dxa"/>
            <w:tcBorders>
              <w:top w:val="single" w:sz="4" w:space="0" w:color="000000"/>
              <w:left w:val="single" w:sz="4" w:space="0" w:color="000000"/>
              <w:right w:val="single" w:sz="4" w:space="0" w:color="000000"/>
            </w:tcBorders>
          </w:tcPr>
          <w:p>
            <w:pPr>
              <w:pStyle w:val="TableParagraph"/>
              <w:spacing w:before="36"/>
              <w:ind w:left="580"/>
              <w:rPr>
                <w:rFonts w:ascii="Times New Roman"/>
                <w:sz w:val="21"/>
              </w:rPr>
            </w:pPr>
            <w:r>
              <w:rPr>
                <w:rFonts w:ascii="Times New Roman"/>
                <w:sz w:val="21"/>
              </w:rPr>
              <w:t>1.29</w:t>
            </w:r>
          </w:p>
        </w:tc>
        <w:tc>
          <w:tcPr>
            <w:tcW w:w="1507" w:type="dxa"/>
            <w:tcBorders>
              <w:top w:val="single" w:sz="4" w:space="0" w:color="000000"/>
              <w:left w:val="single" w:sz="4" w:space="0" w:color="000000"/>
              <w:right w:val="single" w:sz="4" w:space="0" w:color="000000"/>
            </w:tcBorders>
          </w:tcPr>
          <w:p>
            <w:pPr>
              <w:pStyle w:val="TableParagraph"/>
              <w:spacing w:before="36"/>
              <w:ind w:left="502" w:right="475"/>
              <w:jc w:val="center"/>
              <w:rPr>
                <w:rFonts w:ascii="Times New Roman"/>
                <w:sz w:val="21"/>
              </w:rPr>
            </w:pPr>
            <w:r>
              <w:rPr>
                <w:rFonts w:ascii="Times New Roman"/>
                <w:sz w:val="21"/>
              </w:rPr>
              <w:t>0.73</w:t>
            </w:r>
          </w:p>
        </w:tc>
        <w:tc>
          <w:tcPr>
            <w:tcW w:w="1507" w:type="dxa"/>
            <w:tcBorders>
              <w:top w:val="single" w:sz="4" w:space="0" w:color="000000"/>
              <w:left w:val="single" w:sz="4" w:space="0" w:color="000000"/>
              <w:right w:val="single" w:sz="4" w:space="0" w:color="000000"/>
            </w:tcBorders>
          </w:tcPr>
          <w:p>
            <w:pPr>
              <w:pStyle w:val="TableParagraph"/>
              <w:spacing w:before="36"/>
              <w:ind w:left="503" w:right="475"/>
              <w:jc w:val="center"/>
              <w:rPr>
                <w:rFonts w:ascii="Times New Roman"/>
                <w:sz w:val="21"/>
              </w:rPr>
            </w:pPr>
            <w:r>
              <w:rPr>
                <w:rFonts w:ascii="Times New Roman"/>
                <w:sz w:val="21"/>
              </w:rPr>
              <w:t>0.41</w:t>
            </w:r>
          </w:p>
        </w:tc>
        <w:tc>
          <w:tcPr>
            <w:tcW w:w="1507" w:type="dxa"/>
            <w:tcBorders>
              <w:top w:val="single" w:sz="4" w:space="0" w:color="000000"/>
              <w:left w:val="single" w:sz="4" w:space="0" w:color="000000"/>
              <w:right w:val="single" w:sz="4" w:space="0" w:color="000000"/>
            </w:tcBorders>
          </w:tcPr>
          <w:p>
            <w:pPr>
              <w:pStyle w:val="TableParagraph"/>
              <w:spacing w:before="36"/>
              <w:ind w:left="578"/>
              <w:rPr>
                <w:rFonts w:ascii="Times New Roman"/>
                <w:sz w:val="21"/>
              </w:rPr>
            </w:pPr>
            <w:r>
              <w:rPr>
                <w:rFonts w:ascii="Times New Roman"/>
                <w:sz w:val="21"/>
              </w:rPr>
              <w:t>0.29</w:t>
            </w:r>
          </w:p>
        </w:tc>
        <w:tc>
          <w:tcPr>
            <w:tcW w:w="1507" w:type="dxa"/>
            <w:tcBorders>
              <w:top w:val="single" w:sz="4" w:space="0" w:color="000000"/>
              <w:left w:val="single" w:sz="4" w:space="0" w:color="000000"/>
              <w:right w:val="nil"/>
            </w:tcBorders>
          </w:tcPr>
          <w:p>
            <w:pPr>
              <w:pStyle w:val="TableParagraph"/>
              <w:spacing w:before="36"/>
              <w:ind w:left="578"/>
              <w:rPr>
                <w:rFonts w:ascii="Times New Roman"/>
                <w:sz w:val="21"/>
              </w:rPr>
            </w:pPr>
            <w:r>
              <w:rPr>
                <w:rFonts w:ascii="Times New Roman"/>
                <w:sz w:val="21"/>
              </w:rPr>
              <w:t>0.13</w:t>
            </w:r>
          </w:p>
        </w:tc>
      </w:tr>
    </w:tbl>
    <w:p>
      <w:pPr>
        <w:pStyle w:val="BodyText"/>
        <w:spacing w:before="131"/>
        <w:ind w:left="816"/>
      </w:pPr>
      <w:r>
        <w:rPr/>
        <w:t>由上表可知，路面的含水量对道路扬尘浓度的影响很大。</w:t>
      </w:r>
    </w:p>
    <w:p>
      <w:pPr>
        <w:pStyle w:val="BodyText"/>
        <w:spacing w:line="360" w:lineRule="auto" w:before="151"/>
        <w:ind w:left="335" w:right="330" w:firstLine="480"/>
        <w:jc w:val="both"/>
      </w:pPr>
      <w:r>
        <w:rPr>
          <w:spacing w:val="-3"/>
        </w:rPr>
        <w:t>为减轻道路扬尘对项目周围大气环境的影响，本次评价要求项目矿山应定期洒水，特别是干燥天气需增加洒水频次保证地面湿度，另外安排人员定期清扫道路，减少扬尘的产</w:t>
      </w:r>
      <w:r>
        <w:rPr/>
        <w:t>生。采取以上措施后，矿山运输道路产生的扬尘对环境影响较小。</w:t>
      </w:r>
    </w:p>
    <w:p>
      <w:pPr>
        <w:pStyle w:val="ListParagraph"/>
        <w:numPr>
          <w:ilvl w:val="0"/>
          <w:numId w:val="13"/>
        </w:numPr>
        <w:tabs>
          <w:tab w:pos="1417" w:val="left" w:leader="none"/>
        </w:tabs>
        <w:spacing w:line="304" w:lineRule="exact" w:before="0" w:after="0"/>
        <w:ind w:left="1417" w:right="0" w:hanging="601"/>
        <w:jc w:val="left"/>
        <w:rPr>
          <w:sz w:val="24"/>
        </w:rPr>
      </w:pPr>
      <w:r>
        <w:rPr>
          <w:sz w:val="24"/>
        </w:rPr>
        <w:t>表土场扬尘</w:t>
      </w:r>
    </w:p>
    <w:p>
      <w:pPr>
        <w:pStyle w:val="BodyText"/>
        <w:spacing w:line="360" w:lineRule="auto" w:before="153"/>
        <w:ind w:left="335" w:right="282" w:firstLine="480"/>
      </w:pPr>
      <w:r>
        <w:rPr/>
        <w:t>表土场的扬尘通过定期洒水碾压，堆放稳定的边坡和场地种植适当的植被来控制起尘量。由于表土量少，通过以上措施对环境的影响很小。</w:t>
      </w:r>
    </w:p>
    <w:p>
      <w:pPr>
        <w:pStyle w:val="ListParagraph"/>
        <w:numPr>
          <w:ilvl w:val="0"/>
          <w:numId w:val="13"/>
        </w:numPr>
        <w:tabs>
          <w:tab w:pos="1417" w:val="left" w:leader="none"/>
        </w:tabs>
        <w:spacing w:line="304" w:lineRule="exact" w:before="0" w:after="0"/>
        <w:ind w:left="1417" w:right="0" w:hanging="601"/>
        <w:jc w:val="left"/>
        <w:rPr>
          <w:sz w:val="24"/>
        </w:rPr>
      </w:pPr>
      <w:r>
        <w:rPr>
          <w:sz w:val="24"/>
        </w:rPr>
        <w:t>机械废气</w:t>
      </w:r>
    </w:p>
    <w:p>
      <w:pPr>
        <w:pStyle w:val="BodyText"/>
        <w:spacing w:line="357" w:lineRule="auto" w:before="153"/>
        <w:ind w:left="335" w:right="328" w:firstLine="480"/>
        <w:jc w:val="both"/>
      </w:pPr>
      <w:r>
        <w:rPr>
          <w:spacing w:val="-5"/>
        </w:rPr>
        <w:t>机械包括挖掘机、装载车等，均以柴油作为燃料，运作时将会产生燃油烟气，主要污</w:t>
      </w:r>
      <w:r>
        <w:rPr>
          <w:spacing w:val="14"/>
        </w:rPr>
        <w:t>染因子为</w:t>
      </w:r>
      <w:r>
        <w:rPr>
          <w:rFonts w:ascii="Times New Roman" w:eastAsia="Times New Roman"/>
        </w:rPr>
        <w:t>NOx</w:t>
      </w:r>
      <w:r>
        <w:rPr/>
        <w:t>、</w:t>
      </w:r>
      <w:r>
        <w:rPr>
          <w:rFonts w:ascii="Times New Roman" w:eastAsia="Times New Roman"/>
        </w:rPr>
        <w:t>CO </w:t>
      </w:r>
      <w:r>
        <w:rPr/>
        <w:t>和颗粒物等，属短时间、无组织、无规律、不连续的少量排放废气， 其对周围大气环境影响较小。</w:t>
      </w:r>
    </w:p>
    <w:p>
      <w:pPr>
        <w:pStyle w:val="BodyText"/>
        <w:spacing w:before="6"/>
        <w:ind w:left="816"/>
      </w:pPr>
      <w:r>
        <w:rPr>
          <w:rFonts w:ascii="Times New Roman" w:eastAsia="Times New Roman"/>
        </w:rPr>
        <w:t>5</w:t>
      </w:r>
      <w:r>
        <w:rPr/>
        <w:t>、大气环境影响评价结论</w:t>
      </w:r>
    </w:p>
    <w:p>
      <w:pPr>
        <w:pStyle w:val="BodyText"/>
        <w:spacing w:line="357" w:lineRule="auto" w:before="153"/>
        <w:ind w:left="335" w:right="282" w:firstLine="480"/>
      </w:pPr>
      <w:r>
        <w:rPr/>
        <w:t>本项目大气环境影响评价等级为二级评级，项目废气经处理达标后排放对大气环境的总体影响微弱，对环境影响可以接受。</w:t>
      </w:r>
    </w:p>
    <w:p>
      <w:pPr>
        <w:pStyle w:val="Heading2"/>
        <w:numPr>
          <w:ilvl w:val="2"/>
          <w:numId w:val="14"/>
        </w:numPr>
        <w:tabs>
          <w:tab w:pos="1356" w:val="left" w:leader="none"/>
        </w:tabs>
        <w:spacing w:line="240" w:lineRule="auto" w:before="3" w:after="0"/>
        <w:ind w:left="1356" w:right="0" w:hanging="540"/>
        <w:jc w:val="left"/>
      </w:pPr>
      <w:r>
        <w:rPr/>
        <w:t>废水环境影响分析</w:t>
      </w:r>
    </w:p>
    <w:p>
      <w:pPr>
        <w:pStyle w:val="BodyText"/>
        <w:spacing w:before="153"/>
        <w:ind w:left="816"/>
      </w:pPr>
      <w:r>
        <w:rPr>
          <w:rFonts w:ascii="Times New Roman" w:eastAsia="Times New Roman"/>
        </w:rPr>
        <w:t>1</w:t>
      </w:r>
      <w:r>
        <w:rPr/>
        <w:t>、湿法作业废水</w:t>
      </w:r>
    </w:p>
    <w:p>
      <w:pPr>
        <w:pStyle w:val="BodyText"/>
        <w:spacing w:line="360" w:lineRule="auto" w:before="151"/>
        <w:ind w:left="335" w:right="330" w:firstLine="480"/>
        <w:jc w:val="both"/>
      </w:pPr>
      <w:r>
        <w:rPr>
          <w:spacing w:val="-3"/>
        </w:rPr>
        <w:t>本项目采矿方式为露天台阶式挖采，在开采过程中降尘采用喷淋水湿法作业，用水水</w:t>
      </w:r>
      <w:r>
        <w:rPr>
          <w:spacing w:val="-1"/>
        </w:rPr>
        <w:t>源为机井水。类比相同规模企业资料，抑尘用水量约为 </w:t>
      </w:r>
      <w:r>
        <w:rPr>
          <w:rFonts w:ascii="Times New Roman" w:eastAsia="Times New Roman"/>
        </w:rPr>
        <w:t>2m</w:t>
      </w:r>
      <w:r>
        <w:rPr>
          <w:rFonts w:ascii="Times New Roman" w:eastAsia="Times New Roman"/>
          <w:position w:val="8"/>
          <w:sz w:val="15"/>
        </w:rPr>
        <w:t>3</w:t>
      </w:r>
      <w:r>
        <w:rPr>
          <w:rFonts w:ascii="Times New Roman" w:eastAsia="Times New Roman"/>
        </w:rPr>
        <w:t>/d</w:t>
      </w:r>
      <w:r>
        <w:rPr/>
        <w:t>，均采取喷雾状水，抑尘过程中喷雾废水部分直接挥发，部分吸收消耗，无废水产生。</w:t>
      </w:r>
    </w:p>
    <w:p>
      <w:pPr>
        <w:pStyle w:val="BodyText"/>
        <w:spacing w:line="304" w:lineRule="exact"/>
        <w:ind w:left="816"/>
      </w:pPr>
      <w:r>
        <w:rPr>
          <w:rFonts w:ascii="Times New Roman" w:eastAsia="Times New Roman"/>
        </w:rPr>
        <w:t>2</w:t>
      </w:r>
      <w:r>
        <w:rPr/>
        <w:t>、生活污水</w:t>
      </w:r>
    </w:p>
    <w:p>
      <w:pPr>
        <w:pStyle w:val="BodyText"/>
        <w:spacing w:line="364" w:lineRule="auto" w:before="106"/>
        <w:ind w:left="335" w:right="325" w:firstLine="480"/>
      </w:pPr>
      <w:r>
        <w:rPr>
          <w:spacing w:val="-9"/>
        </w:rPr>
        <w:t>项目劳动定员 </w:t>
      </w:r>
      <w:r>
        <w:rPr>
          <w:rFonts w:ascii="Times New Roman" w:eastAsia="Times New Roman"/>
        </w:rPr>
        <w:t>2 </w:t>
      </w:r>
      <w:r>
        <w:rPr>
          <w:spacing w:val="-11"/>
        </w:rPr>
        <w:t>人，生活污水产生量为 </w:t>
      </w:r>
      <w:r>
        <w:rPr>
          <w:rFonts w:ascii="Times New Roman" w:eastAsia="Times New Roman"/>
        </w:rPr>
        <w:t>20.16t/</w:t>
      </w:r>
      <w:r>
        <w:rPr>
          <w:rFonts w:ascii="Times New Roman" w:eastAsia="Times New Roman"/>
          <w:spacing w:val="-30"/>
        </w:rPr>
        <w:t>a</w:t>
      </w:r>
      <w:r>
        <w:rPr/>
        <w:t>（</w:t>
      </w:r>
      <w:r>
        <w:rPr>
          <w:rFonts w:ascii="Times New Roman" w:eastAsia="Times New Roman"/>
        </w:rPr>
        <w:t>0.096t/</w:t>
      </w:r>
      <w:r>
        <w:rPr>
          <w:rFonts w:ascii="Times New Roman" w:eastAsia="Times New Roman"/>
          <w:spacing w:val="-3"/>
        </w:rPr>
        <w:t>d</w:t>
      </w:r>
      <w:r>
        <w:rPr>
          <w:spacing w:val="-120"/>
        </w:rPr>
        <w:t>）</w:t>
      </w:r>
      <w:r>
        <w:rPr>
          <w:spacing w:val="-7"/>
        </w:rPr>
        <w:t>，生活污水通过砖厂办公区</w:t>
      </w:r>
      <w:r>
        <w:rPr/>
        <w:t>化粪池进行收集，定期清掏用于周边农林地的施肥利用。</w:t>
      </w:r>
    </w:p>
    <w:p>
      <w:pPr>
        <w:pStyle w:val="Heading2"/>
        <w:numPr>
          <w:ilvl w:val="2"/>
          <w:numId w:val="14"/>
        </w:numPr>
        <w:tabs>
          <w:tab w:pos="1356" w:val="left" w:leader="none"/>
        </w:tabs>
        <w:spacing w:line="240" w:lineRule="auto" w:before="49" w:after="0"/>
        <w:ind w:left="1356" w:right="0" w:hanging="540"/>
        <w:jc w:val="left"/>
      </w:pPr>
      <w:r>
        <w:rPr/>
        <w:t>噪声环境影响分析</w:t>
      </w:r>
    </w:p>
    <w:p>
      <w:pPr>
        <w:pStyle w:val="BodyText"/>
        <w:spacing w:before="153"/>
        <w:ind w:left="816"/>
        <w:rPr>
          <w:rFonts w:ascii="Times New Roman" w:eastAsia="Times New Roman"/>
        </w:rPr>
      </w:pPr>
      <w:r>
        <w:rPr>
          <w:spacing w:val="-4"/>
        </w:rPr>
        <w:t>本项目运营期噪声主要来源于机械设备</w:t>
      </w:r>
      <w:r>
        <w:rPr/>
        <w:t>（挖掘机</w:t>
      </w:r>
      <w:r>
        <w:rPr>
          <w:spacing w:val="-60"/>
        </w:rPr>
        <w:t>）</w:t>
      </w:r>
      <w:r>
        <w:rPr>
          <w:spacing w:val="-12"/>
        </w:rPr>
        <w:t>运行产生的噪声，声源强度在 </w:t>
      </w:r>
      <w:r>
        <w:rPr>
          <w:rFonts w:ascii="Times New Roman" w:eastAsia="Times New Roman"/>
        </w:rPr>
        <w:t>90 dB</w:t>
      </w:r>
    </w:p>
    <w:p>
      <w:pPr>
        <w:spacing w:after="0"/>
        <w:rPr>
          <w:rFonts w:ascii="Times New Roman" w:eastAsia="Times New Roman"/>
        </w:rPr>
        <w:sectPr>
          <w:pgSz w:w="11910" w:h="16840"/>
          <w:pgMar w:header="0" w:footer="770" w:top="1220" w:bottom="960" w:left="1020" w:right="880"/>
        </w:sectPr>
      </w:pPr>
    </w:p>
    <w:p>
      <w:pPr>
        <w:pStyle w:val="ListParagraph"/>
        <w:numPr>
          <w:ilvl w:val="0"/>
          <w:numId w:val="15"/>
        </w:numPr>
        <w:tabs>
          <w:tab w:pos="992" w:val="left" w:leader="none"/>
        </w:tabs>
        <w:spacing w:line="360" w:lineRule="auto" w:before="147" w:after="0"/>
        <w:ind w:left="335" w:right="330" w:firstLine="0"/>
        <w:jc w:val="left"/>
        <w:rPr>
          <w:sz w:val="24"/>
        </w:rPr>
      </w:pPr>
      <w:r>
        <w:rPr/>
        <w:pict>
          <v:shape style="position:absolute;margin-left:62.110001pt;margin-top:65.460014pt;width:478.25pt;height:714.15pt;mso-position-horizontal-relative:page;mso-position-vertical-relative:page;z-index:-256965632" coordorigin="1242,1309" coordsize="9565,14283" path="m1242,1252l10807,1252m1242,15530l10807,15530m1247,1247l1247,15525m10802,1247l10802,15525e" filled="false" stroked="true" strokeweight=".48pt" strokecolor="#000000">
            <v:path arrowok="t"/>
            <v:stroke dashstyle="solid"/>
            <w10:wrap type="none"/>
          </v:shape>
        </w:pict>
      </w:r>
      <w:r>
        <w:rPr>
          <w:sz w:val="24"/>
        </w:rPr>
        <w:t>。项目挖掘机的噪声随采矿作业的推进而移动，属于间歇性移动噪声。环评要求项目采取如下措施减轻噪声的影响：</w:t>
      </w:r>
    </w:p>
    <w:p>
      <w:pPr>
        <w:pStyle w:val="ListParagraph"/>
        <w:numPr>
          <w:ilvl w:val="1"/>
          <w:numId w:val="15"/>
        </w:numPr>
        <w:tabs>
          <w:tab w:pos="1417" w:val="left" w:leader="none"/>
        </w:tabs>
        <w:spacing w:line="304" w:lineRule="exact" w:before="0" w:after="0"/>
        <w:ind w:left="1417" w:right="0" w:hanging="601"/>
        <w:jc w:val="left"/>
        <w:rPr>
          <w:sz w:val="24"/>
        </w:rPr>
      </w:pPr>
      <w:r>
        <w:rPr>
          <w:sz w:val="24"/>
        </w:rPr>
        <w:t>尽可能选用功能好，噪音低的设备并加强设备维护；</w:t>
      </w:r>
    </w:p>
    <w:p>
      <w:pPr>
        <w:pStyle w:val="ListParagraph"/>
        <w:numPr>
          <w:ilvl w:val="1"/>
          <w:numId w:val="15"/>
        </w:numPr>
        <w:tabs>
          <w:tab w:pos="1417" w:val="left" w:leader="none"/>
        </w:tabs>
        <w:spacing w:line="240" w:lineRule="auto" w:before="153" w:after="0"/>
        <w:ind w:left="1417" w:right="0" w:hanging="601"/>
        <w:jc w:val="left"/>
        <w:rPr>
          <w:sz w:val="24"/>
        </w:rPr>
      </w:pPr>
      <w:r>
        <w:rPr>
          <w:sz w:val="24"/>
        </w:rPr>
        <w:t>机械设备采取基础减振，距离衰减，隔声等措施，确保场界达标；</w:t>
      </w:r>
    </w:p>
    <w:p>
      <w:pPr>
        <w:pStyle w:val="ListParagraph"/>
        <w:numPr>
          <w:ilvl w:val="1"/>
          <w:numId w:val="15"/>
        </w:numPr>
        <w:tabs>
          <w:tab w:pos="1424" w:val="left" w:leader="none"/>
        </w:tabs>
        <w:spacing w:line="357" w:lineRule="auto" w:before="153" w:after="0"/>
        <w:ind w:left="335" w:right="330" w:firstLine="480"/>
        <w:jc w:val="left"/>
        <w:rPr>
          <w:sz w:val="24"/>
        </w:rPr>
      </w:pPr>
      <w:r>
        <w:rPr>
          <w:sz w:val="24"/>
        </w:rPr>
        <w:t>避免使用高声喇叭，以减少噪声对四周环境的影响，同时控制作业时间（控制</w:t>
      </w:r>
      <w:r>
        <w:rPr>
          <w:spacing w:val="-20"/>
          <w:sz w:val="24"/>
        </w:rPr>
        <w:t>在早 </w:t>
      </w:r>
      <w:r>
        <w:rPr>
          <w:rFonts w:ascii="Times New Roman" w:eastAsia="Times New Roman"/>
          <w:sz w:val="24"/>
        </w:rPr>
        <w:t>7 </w:t>
      </w:r>
      <w:r>
        <w:rPr>
          <w:spacing w:val="-15"/>
          <w:sz w:val="24"/>
        </w:rPr>
        <w:t>点至晚 </w:t>
      </w:r>
      <w:r>
        <w:rPr>
          <w:rFonts w:ascii="Times New Roman" w:eastAsia="Times New Roman"/>
          <w:sz w:val="24"/>
        </w:rPr>
        <w:t>6 </w:t>
      </w:r>
      <w:r>
        <w:rPr>
          <w:sz w:val="24"/>
        </w:rPr>
        <w:t>点之间），避免早晚扰民。</w:t>
      </w:r>
    </w:p>
    <w:p>
      <w:pPr>
        <w:pStyle w:val="BodyText"/>
        <w:spacing w:line="360" w:lineRule="auto" w:before="3"/>
        <w:ind w:left="335" w:right="282" w:firstLine="480"/>
      </w:pPr>
      <w:r>
        <w:rPr/>
        <w:t>通过采取以上措施后，项目矿区机械噪声基本能达到《工业企业厂界环境噪声排放标准》</w:t>
      </w:r>
      <w:r>
        <w:rPr>
          <w:rFonts w:ascii="Times New Roman" w:eastAsia="Times New Roman"/>
        </w:rPr>
        <w:t>2 </w:t>
      </w:r>
      <w:r>
        <w:rPr/>
        <w:t>类标准，对周围的环境影响很小。</w:t>
      </w:r>
    </w:p>
    <w:p>
      <w:pPr>
        <w:pStyle w:val="Heading2"/>
        <w:numPr>
          <w:ilvl w:val="2"/>
          <w:numId w:val="14"/>
        </w:numPr>
        <w:tabs>
          <w:tab w:pos="1356" w:val="left" w:leader="none"/>
        </w:tabs>
        <w:spacing w:line="304" w:lineRule="exact" w:before="0" w:after="0"/>
        <w:ind w:left="1356" w:right="0" w:hanging="540"/>
        <w:jc w:val="left"/>
      </w:pPr>
      <w:r>
        <w:rPr/>
        <w:t>固体废弃物环境影响分析</w:t>
      </w:r>
    </w:p>
    <w:p>
      <w:pPr>
        <w:pStyle w:val="BodyText"/>
        <w:spacing w:before="153"/>
        <w:ind w:left="816"/>
      </w:pPr>
      <w:r>
        <w:rPr/>
        <w:t>项目开采过程中固体废物主要为剥离的表土和工作人员的生活垃圾。</w:t>
      </w:r>
    </w:p>
    <w:p>
      <w:pPr>
        <w:pStyle w:val="BodyText"/>
        <w:spacing w:line="357" w:lineRule="auto" w:before="154"/>
        <w:ind w:left="335" w:right="310" w:firstLine="480"/>
        <w:jc w:val="both"/>
      </w:pPr>
      <w:r>
        <w:rPr>
          <w:spacing w:val="-3"/>
        </w:rPr>
        <w:t>矿石的表土覆盖层较薄，后续的开采过程中不存在表土的剥离，剥离的表土堆放于表</w:t>
      </w:r>
      <w:r>
        <w:rPr>
          <w:spacing w:val="-4"/>
        </w:rPr>
        <w:t>土场，待开采结束后，作为植被恢复用土。表土堆场必须建设拦挡设施，底部修建挡墙。</w:t>
      </w:r>
      <w:r>
        <w:rPr>
          <w:spacing w:val="-5"/>
        </w:rPr>
        <w:t>待矿山闭矿后，及时将表土清理至矿区覆土绿化，对表土场进行平整，植树绿化，确保生</w:t>
      </w:r>
      <w:r>
        <w:rPr>
          <w:spacing w:val="-8"/>
        </w:rPr>
        <w:t>态植被恢复。表土堆场顶部开挖截水沟，两侧沿山体表面开挖排水沟，截水沟与排水沟相连，并在排水沟末端设置一组沉沙池，雨水经沉淀后达标排放。</w:t>
      </w:r>
    </w:p>
    <w:p>
      <w:pPr>
        <w:pStyle w:val="BodyText"/>
        <w:spacing w:line="360" w:lineRule="auto" w:before="8"/>
        <w:ind w:left="335" w:right="282" w:firstLine="480"/>
      </w:pPr>
      <w:r>
        <w:rPr/>
        <w:t>工作人员产生的生活垃圾，建设单位应在矿部设置垃圾收集桶，采取集中收集，统一堆放，定期由村镇垃圾收集系统运至垃圾填埋场。</w:t>
      </w:r>
    </w:p>
    <w:p>
      <w:pPr>
        <w:pStyle w:val="BodyText"/>
        <w:spacing w:line="360" w:lineRule="auto"/>
        <w:ind w:left="335" w:right="282" w:firstLine="480"/>
      </w:pPr>
      <w:r>
        <w:rPr/>
        <w:t>采取上述固废处置措施后，项目产生的固体废物均得到了综合利用或合理处置，满足环保要求。</w:t>
      </w:r>
    </w:p>
    <w:p>
      <w:pPr>
        <w:pStyle w:val="Heading2"/>
        <w:numPr>
          <w:ilvl w:val="2"/>
          <w:numId w:val="14"/>
        </w:numPr>
        <w:tabs>
          <w:tab w:pos="1356" w:val="left" w:leader="none"/>
        </w:tabs>
        <w:spacing w:line="307" w:lineRule="exact" w:before="0" w:after="0"/>
        <w:ind w:left="1356" w:right="0" w:hanging="540"/>
        <w:jc w:val="left"/>
      </w:pPr>
      <w:r>
        <w:rPr/>
        <w:t>生态环境影响及分析</w:t>
      </w:r>
    </w:p>
    <w:p>
      <w:pPr>
        <w:pStyle w:val="BodyText"/>
        <w:spacing w:line="360" w:lineRule="auto" w:before="147"/>
        <w:ind w:left="335" w:right="330" w:firstLine="480"/>
        <w:jc w:val="both"/>
      </w:pPr>
      <w:r>
        <w:rPr>
          <w:spacing w:val="-3"/>
        </w:rPr>
        <w:t>矿山开采活动对生态环境的影响，主要表现在开采过程所产生的粉尘对植被有一定的</w:t>
      </w:r>
      <w:r>
        <w:rPr>
          <w:spacing w:val="-6"/>
        </w:rPr>
        <w:t>影响；在表土剥离和页岩矿开采过程中，将不可避免地改变地形地貌，破坏植被，扰动原</w:t>
      </w:r>
      <w:r>
        <w:rPr>
          <w:spacing w:val="-5"/>
        </w:rPr>
        <w:t>有土体，损坏原有水土保持系统，容易产生新的水土流失；运输过程产生的噪声和粉尘对</w:t>
      </w:r>
      <w:r>
        <w:rPr>
          <w:spacing w:val="-4"/>
        </w:rPr>
        <w:t>沿途环境将产生一定的影响。露天采矿的过程，一般都伴随着植被的破坏，破坏了生态系</w:t>
      </w:r>
      <w:r>
        <w:rPr/>
        <w:t>统的稳定和良性循环，产生了一定的环境影响和危害。</w:t>
      </w:r>
    </w:p>
    <w:p>
      <w:pPr>
        <w:pStyle w:val="Heading2"/>
        <w:numPr>
          <w:ilvl w:val="2"/>
          <w:numId w:val="14"/>
        </w:numPr>
        <w:tabs>
          <w:tab w:pos="1356" w:val="left" w:leader="none"/>
        </w:tabs>
        <w:spacing w:line="303" w:lineRule="exact" w:before="0" w:after="0"/>
        <w:ind w:left="1356" w:right="0" w:hanging="540"/>
        <w:jc w:val="both"/>
      </w:pPr>
      <w:r>
        <w:rPr/>
        <w:t>闭矿期环境影响分析</w:t>
      </w:r>
    </w:p>
    <w:p>
      <w:pPr>
        <w:pStyle w:val="BodyText"/>
        <w:spacing w:line="360" w:lineRule="auto" w:before="151"/>
        <w:ind w:left="335" w:right="310" w:firstLine="480"/>
        <w:jc w:val="both"/>
      </w:pPr>
      <w:r>
        <w:rPr/>
        <w:t>国土资源部关于印发《</w:t>
      </w:r>
      <w:r>
        <w:rPr>
          <w:rFonts w:ascii="Times New Roman" w:hAnsi="Times New Roman" w:eastAsia="Times New Roman"/>
        </w:rPr>
        <w:t>“</w:t>
      </w:r>
      <w:r>
        <w:rPr/>
        <w:t>十三五</w:t>
      </w:r>
      <w:r>
        <w:rPr>
          <w:rFonts w:ascii="Times New Roman" w:hAnsi="Times New Roman" w:eastAsia="Times New Roman"/>
        </w:rPr>
        <w:t>”</w:t>
      </w:r>
      <w:r>
        <w:rPr/>
        <w:t>国土资源生态建设和环境保护规划》及国家环境保护总局、国土资源部、科技部环发（</w:t>
      </w:r>
      <w:r>
        <w:rPr>
          <w:rFonts w:ascii="Times New Roman" w:hAnsi="Times New Roman" w:eastAsia="Times New Roman"/>
        </w:rPr>
        <w:t>2005</w:t>
      </w:r>
      <w:r>
        <w:rPr/>
        <w:t>）</w:t>
      </w:r>
      <w:r>
        <w:rPr>
          <w:rFonts w:ascii="Times New Roman" w:hAnsi="Times New Roman" w:eastAsia="Times New Roman"/>
        </w:rPr>
        <w:t>109 </w:t>
      </w:r>
      <w:r>
        <w:rPr/>
        <w:t>号文《矿山生态环境保护与污染防治技术政策》中规定，矿山企业必须依法履行环境保护、土地复垦等义务，大力加强对矿山生态环境恢复治理。加快对矿山损毁土地进行复垦，对矿山</w:t>
      </w:r>
      <w:r>
        <w:rPr>
          <w:rFonts w:ascii="Times New Roman" w:hAnsi="Times New Roman" w:eastAsia="Times New Roman"/>
        </w:rPr>
        <w:t>“</w:t>
      </w:r>
      <w:r>
        <w:rPr/>
        <w:t>三废</w:t>
      </w:r>
      <w:r>
        <w:rPr>
          <w:rFonts w:ascii="Times New Roman" w:hAnsi="Times New Roman" w:eastAsia="Times New Roman"/>
        </w:rPr>
        <w:t>”</w:t>
      </w:r>
      <w:r>
        <w:rPr/>
        <w:t>进行综合治理，综合利用。建设项目开采期满后，应当按照国家有关环境保护规定进行封场，并对矿山进行生态恢复，</w:t>
      </w:r>
    </w:p>
    <w:p>
      <w:pPr>
        <w:spacing w:after="0" w:line="360" w:lineRule="auto"/>
        <w:jc w:val="both"/>
        <w:sectPr>
          <w:pgSz w:w="11910" w:h="16840"/>
          <w:pgMar w:header="0" w:footer="770" w:top="1220" w:bottom="1040" w:left="1020" w:right="880"/>
        </w:sectPr>
      </w:pPr>
    </w:p>
    <w:p>
      <w:pPr>
        <w:pStyle w:val="BodyText"/>
        <w:spacing w:before="147"/>
        <w:ind w:left="335"/>
      </w:pPr>
      <w:r>
        <w:rPr/>
        <w:pict>
          <v:shape style="position:absolute;margin-left:62.110001pt;margin-top:65.460014pt;width:478.25pt;height:714.15pt;mso-position-horizontal-relative:page;mso-position-vertical-relative:page;z-index:-256964608" coordorigin="1242,1309" coordsize="9565,14283" path="m1242,1252l10807,1252m1242,15530l10807,15530m1247,1247l1247,15525m10802,1247l10802,15525e" filled="false" stroked="true" strokeweight=".48pt" strokecolor="#000000">
            <v:path arrowok="t"/>
            <v:stroke dashstyle="solid"/>
            <w10:wrap type="none"/>
          </v:shape>
        </w:pict>
      </w:r>
      <w:r>
        <w:rPr/>
        <w:t>防止造成环境污染和生态破坏。</w:t>
      </w:r>
    </w:p>
    <w:p>
      <w:pPr>
        <w:pStyle w:val="BodyText"/>
        <w:spacing w:line="357" w:lineRule="auto" w:before="153"/>
        <w:ind w:left="335" w:right="314" w:firstLine="480"/>
      </w:pPr>
      <w:r>
        <w:rPr>
          <w:rFonts w:ascii="Times New Roman" w:eastAsia="Times New Roman"/>
        </w:rPr>
        <w:t>1</w:t>
      </w:r>
      <w:r>
        <w:rPr/>
        <w:t>、项目应坚持边开采边治理的原则，在开采过程中，对采区内已采完的区域和采坑及时回填复垦。项目的生产过程，也是采完区域的生态恢复过程；到项目末期，大部分采区植被应得到初步恢复，项目对生态环境的影响逐渐降低。项目结束后，要对项目区进行全面的复垦、绿化，采取各种措施恢复生态环境。经治理后，项目区内的生态环境将得到较好的恢复。</w:t>
      </w:r>
    </w:p>
    <w:p>
      <w:pPr>
        <w:pStyle w:val="BodyText"/>
        <w:spacing w:line="357" w:lineRule="auto" w:before="8"/>
        <w:ind w:left="335" w:right="310" w:firstLine="480"/>
      </w:pPr>
      <w:r>
        <w:rPr>
          <w:rFonts w:ascii="Times New Roman" w:eastAsia="Times New Roman"/>
        </w:rPr>
        <w:t>2</w:t>
      </w:r>
      <w:r>
        <w:rPr/>
        <w:t>、拆除地面设备、主体建筑的同时，对占地范围进行必要的补偿和恢复。对已造成土壤破坏或植被破坏的地方进行植被恢复，对造成水土流失的地段作保水保土设施建设， 防止水土流失面积进一步扩大。</w:t>
      </w:r>
    </w:p>
    <w:p>
      <w:pPr>
        <w:pStyle w:val="BodyText"/>
        <w:spacing w:line="360" w:lineRule="auto" w:before="6"/>
        <w:ind w:left="335" w:right="430" w:firstLine="480"/>
      </w:pPr>
      <w:r>
        <w:rPr>
          <w:rFonts w:ascii="Times New Roman" w:eastAsia="Times New Roman"/>
        </w:rPr>
        <w:t>3</w:t>
      </w:r>
      <w:r>
        <w:rPr/>
        <w:t>、矿山闭矿后利用表土场堆放的废土石回填露天采坑，撒播草籽、植树，将采区恢复成林草地。表土场清理平整后，恢复成林草地。</w:t>
      </w:r>
    </w:p>
    <w:p>
      <w:pPr>
        <w:pStyle w:val="BodyText"/>
        <w:spacing w:line="360" w:lineRule="auto"/>
        <w:ind w:left="335" w:right="282" w:firstLine="480"/>
      </w:pPr>
      <w:r>
        <w:rPr/>
        <w:t>采取上述污染防治和生态保护措施后，可较大程度的控制项目对区域生态环境可能带来的影响和变化，同时，对已经造成的影响和变化做必要的恢复和改善。</w:t>
      </w:r>
    </w:p>
    <w:p>
      <w:pPr>
        <w:pStyle w:val="Heading2"/>
        <w:numPr>
          <w:ilvl w:val="2"/>
          <w:numId w:val="14"/>
        </w:numPr>
        <w:tabs>
          <w:tab w:pos="1356" w:val="left" w:leader="none"/>
        </w:tabs>
        <w:spacing w:line="307" w:lineRule="exact" w:before="0" w:after="0"/>
        <w:ind w:left="1356" w:right="0" w:hanging="540"/>
        <w:jc w:val="left"/>
      </w:pPr>
      <w:r>
        <w:rPr/>
        <w:t>环境管理与监测计划</w:t>
      </w:r>
    </w:p>
    <w:p>
      <w:pPr>
        <w:pStyle w:val="BodyText"/>
        <w:spacing w:before="147"/>
        <w:ind w:left="816"/>
      </w:pPr>
      <w:r>
        <w:rPr>
          <w:rFonts w:ascii="Times New Roman" w:eastAsia="Times New Roman"/>
        </w:rPr>
        <w:t>1</w:t>
      </w:r>
      <w:r>
        <w:rPr/>
        <w:t>、环境管理</w:t>
      </w:r>
    </w:p>
    <w:p>
      <w:pPr>
        <w:pStyle w:val="BodyText"/>
        <w:spacing w:line="357" w:lineRule="auto" w:before="153"/>
        <w:ind w:left="335" w:right="330" w:firstLine="480"/>
        <w:jc w:val="both"/>
      </w:pPr>
      <w:r>
        <w:rPr>
          <w:spacing w:val="-3"/>
        </w:rPr>
        <w:t>本建设项目应将环境保护目标纳入日常管理中，并制定合理的污染控制措施，使项目排污符合国家和地方有关排放标准。企业内部必须加强其环境管理机构和职能建设，使其</w:t>
      </w:r>
      <w:r>
        <w:rPr/>
        <w:t>环境管理行之有效。根据本项目的特点和性质，在营运期的环境管理，作以下说明：</w:t>
      </w:r>
    </w:p>
    <w:p>
      <w:pPr>
        <w:pStyle w:val="ListParagraph"/>
        <w:numPr>
          <w:ilvl w:val="0"/>
          <w:numId w:val="16"/>
        </w:numPr>
        <w:tabs>
          <w:tab w:pos="1417" w:val="left" w:leader="none"/>
        </w:tabs>
        <w:spacing w:line="240" w:lineRule="auto" w:before="6" w:after="0"/>
        <w:ind w:left="1417" w:right="0" w:hanging="601"/>
        <w:jc w:val="left"/>
        <w:rPr>
          <w:sz w:val="24"/>
        </w:rPr>
      </w:pPr>
      <w:r>
        <w:rPr>
          <w:sz w:val="24"/>
        </w:rPr>
        <w:t>环境管理机构</w:t>
      </w:r>
    </w:p>
    <w:p>
      <w:pPr>
        <w:pStyle w:val="BodyText"/>
        <w:spacing w:line="357" w:lineRule="auto" w:before="153"/>
        <w:ind w:left="335" w:right="282" w:firstLine="480"/>
      </w:pPr>
      <w:r>
        <w:rPr/>
        <w:t>为了保证环境管理工作的顺利进行，本工程应设立环境管理部门，配备专职人员负责日常环境管理工作，并由当地环境保护主管部门负责监督检查。</w:t>
      </w:r>
    </w:p>
    <w:p>
      <w:pPr>
        <w:pStyle w:val="ListParagraph"/>
        <w:numPr>
          <w:ilvl w:val="0"/>
          <w:numId w:val="16"/>
        </w:numPr>
        <w:tabs>
          <w:tab w:pos="1417" w:val="left" w:leader="none"/>
        </w:tabs>
        <w:spacing w:line="240" w:lineRule="auto" w:before="3" w:after="0"/>
        <w:ind w:left="1417" w:right="0" w:hanging="601"/>
        <w:jc w:val="left"/>
        <w:rPr>
          <w:sz w:val="24"/>
        </w:rPr>
      </w:pPr>
      <w:r>
        <w:rPr>
          <w:sz w:val="24"/>
        </w:rPr>
        <w:t>环境管理职责</w:t>
      </w:r>
    </w:p>
    <w:p>
      <w:pPr>
        <w:pStyle w:val="BodyText"/>
        <w:spacing w:line="357" w:lineRule="auto" w:before="153"/>
        <w:ind w:left="335" w:right="310" w:firstLine="480"/>
      </w:pPr>
      <w:r>
        <w:rPr/>
        <w:t>①贯彻执行国家和地方各项环保方针、政策和法规，制定项目环境保护制度和细则， 定期对环境管理章程进行补充、修改和完善。</w:t>
      </w:r>
    </w:p>
    <w:p>
      <w:pPr>
        <w:pStyle w:val="BodyText"/>
        <w:spacing w:line="357" w:lineRule="auto" w:before="3"/>
        <w:ind w:left="335" w:right="328" w:firstLine="480"/>
        <w:jc w:val="both"/>
      </w:pPr>
      <w:r>
        <w:rPr>
          <w:spacing w:val="-2"/>
        </w:rPr>
        <w:t>②制定运营期各污染治理设施的处理工艺技术规范和操作规程。建立各污染源监测制</w:t>
      </w:r>
      <w:r>
        <w:rPr>
          <w:spacing w:val="-3"/>
        </w:rPr>
        <w:t>度，按环境监测部门的要求，制定各项化</w:t>
      </w:r>
      <w:r>
        <w:rPr/>
        <w:t>（检</w:t>
      </w:r>
      <w:r>
        <w:rPr>
          <w:spacing w:val="-5"/>
        </w:rPr>
        <w:t>）</w:t>
      </w:r>
      <w:r>
        <w:rPr>
          <w:spacing w:val="-2"/>
        </w:rPr>
        <w:t>验技术规程，按规定定期对各污染源排放</w:t>
      </w:r>
      <w:r>
        <w:rPr/>
        <w:t>点进行监测，保证处理效果达到设计要求、各污染源达标排放。</w:t>
      </w:r>
    </w:p>
    <w:p>
      <w:pPr>
        <w:pStyle w:val="BodyText"/>
        <w:spacing w:line="360" w:lineRule="auto" w:before="6"/>
        <w:ind w:left="335" w:right="330" w:firstLine="480"/>
      </w:pPr>
      <w:r>
        <w:rPr/>
        <w:t>③执行建设项目环境影响评价制度和</w:t>
      </w:r>
      <w:r>
        <w:rPr>
          <w:rFonts w:ascii="Times New Roman" w:hAnsi="Times New Roman" w:eastAsia="Times New Roman"/>
        </w:rPr>
        <w:t>“</w:t>
      </w:r>
      <w:r>
        <w:rPr/>
        <w:t>三同时</w:t>
      </w:r>
      <w:r>
        <w:rPr>
          <w:rFonts w:ascii="Times New Roman" w:hAnsi="Times New Roman" w:eastAsia="Times New Roman"/>
        </w:rPr>
        <w:t>”</w:t>
      </w:r>
      <w:r>
        <w:rPr/>
        <w:t>制度，组织专家和有关管理部门对工程进行竣工验收，保证污染物达标排放。</w:t>
      </w:r>
    </w:p>
    <w:p>
      <w:pPr>
        <w:pStyle w:val="BodyText"/>
        <w:spacing w:line="360" w:lineRule="auto"/>
        <w:ind w:left="335" w:right="282" w:firstLine="480"/>
      </w:pPr>
      <w:r>
        <w:rPr/>
        <w:t>④组织开展环保教育和环境保护专业技术培训，提高员工的环保素质，建立环境保护档案，进行环境统计，开展日常环境保护工作。</w:t>
      </w:r>
    </w:p>
    <w:p>
      <w:pPr>
        <w:spacing w:after="0" w:line="360" w:lineRule="auto"/>
        <w:sectPr>
          <w:pgSz w:w="11910" w:h="16840"/>
          <w:pgMar w:header="0" w:footer="770" w:top="1220" w:bottom="1040" w:left="1020" w:right="88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581"/>
        <w:gridCol w:w="1331"/>
        <w:gridCol w:w="2267"/>
        <w:gridCol w:w="2906"/>
        <w:gridCol w:w="1307"/>
        <w:gridCol w:w="582"/>
      </w:tblGrid>
      <w:tr>
        <w:trPr>
          <w:trHeight w:val="10352" w:hRule="atLeast"/>
        </w:trPr>
        <w:tc>
          <w:tcPr>
            <w:tcW w:w="9555" w:type="dxa"/>
            <w:gridSpan w:val="7"/>
            <w:tcBorders>
              <w:bottom w:val="nil"/>
            </w:tcBorders>
          </w:tcPr>
          <w:p>
            <w:pPr>
              <w:pStyle w:val="TableParagraph"/>
              <w:spacing w:before="129"/>
              <w:ind w:left="588"/>
              <w:rPr>
                <w:sz w:val="24"/>
              </w:rPr>
            </w:pPr>
            <w:r>
              <w:rPr>
                <w:sz w:val="24"/>
              </w:rPr>
              <w:t>⑤负责场区植被恢复和日常环境保护管理等工作。</w:t>
            </w:r>
          </w:p>
          <w:p>
            <w:pPr>
              <w:pStyle w:val="TableParagraph"/>
              <w:spacing w:before="153"/>
              <w:ind w:left="588"/>
              <w:rPr>
                <w:sz w:val="24"/>
              </w:rPr>
            </w:pPr>
            <w:r>
              <w:rPr>
                <w:sz w:val="24"/>
              </w:rPr>
              <w:t>（</w:t>
            </w:r>
            <w:r>
              <w:rPr>
                <w:rFonts w:ascii="Times New Roman" w:eastAsia="Times New Roman"/>
                <w:sz w:val="24"/>
              </w:rPr>
              <w:t>3</w:t>
            </w:r>
            <w:r>
              <w:rPr>
                <w:sz w:val="24"/>
              </w:rPr>
              <w:t>）环境管理要求</w:t>
            </w:r>
          </w:p>
          <w:p>
            <w:pPr>
              <w:pStyle w:val="TableParagraph"/>
              <w:spacing w:line="360" w:lineRule="auto" w:before="151"/>
              <w:ind w:left="108" w:right="95" w:firstLine="480"/>
              <w:jc w:val="both"/>
              <w:rPr>
                <w:sz w:val="24"/>
              </w:rPr>
            </w:pPr>
            <w:r>
              <w:rPr>
                <w:spacing w:val="-3"/>
                <w:sz w:val="24"/>
              </w:rPr>
              <w:t>建设单位应把污染防治和环境管理纳入企业日常经营管理活动，从计划管理、生产管</w:t>
            </w:r>
            <w:r>
              <w:rPr>
                <w:spacing w:val="-6"/>
                <w:sz w:val="24"/>
              </w:rPr>
              <w:t>理、技术管理、设备管理到经济成本核算都要有控制污染的内容和指标，并且要落实到岗位；建立健全企业的污染监测系统，为企业环境管理提供依据；建立环境保护信息反馈和</w:t>
            </w:r>
            <w:r>
              <w:rPr>
                <w:spacing w:val="-4"/>
                <w:sz w:val="24"/>
              </w:rPr>
              <w:t>群众监督制度，监察企业生产和管理活动违背环保法规和制度的行为；建立健全各项环保设施的运行操作规则，并有效监督实施；定期向安康市生态环境局恒口分局汇报情况配合</w:t>
            </w:r>
            <w:r>
              <w:rPr>
                <w:sz w:val="24"/>
              </w:rPr>
              <w:t>环保部门的监督、检查。</w:t>
            </w:r>
          </w:p>
          <w:p>
            <w:pPr>
              <w:pStyle w:val="TableParagraph"/>
              <w:spacing w:line="300" w:lineRule="exact"/>
              <w:ind w:left="588"/>
              <w:rPr>
                <w:sz w:val="24"/>
              </w:rPr>
            </w:pPr>
            <w:r>
              <w:rPr>
                <w:rFonts w:ascii="Times New Roman" w:eastAsia="Times New Roman"/>
                <w:sz w:val="24"/>
              </w:rPr>
              <w:t>2</w:t>
            </w:r>
            <w:r>
              <w:rPr>
                <w:sz w:val="24"/>
              </w:rPr>
              <w:t>、监测计划</w:t>
            </w:r>
          </w:p>
          <w:p>
            <w:pPr>
              <w:pStyle w:val="TableParagraph"/>
              <w:spacing w:line="360" w:lineRule="auto" w:before="153"/>
              <w:ind w:left="108" w:right="93" w:firstLine="480"/>
              <w:jc w:val="both"/>
              <w:rPr>
                <w:sz w:val="24"/>
              </w:rPr>
            </w:pPr>
            <w:r>
              <w:rPr>
                <w:spacing w:val="-3"/>
                <w:sz w:val="24"/>
              </w:rPr>
              <w:t>项目环境监测工作可委托有资质的环境监测部门，按环境监测规范要求进行监测，建</w:t>
            </w:r>
            <w:r>
              <w:rPr>
                <w:spacing w:val="-5"/>
                <w:sz w:val="24"/>
              </w:rPr>
              <w:t>立监测数据档案，确保环保措施监督、检查工作准确实施。为项目运营、环境管理和环境</w:t>
            </w:r>
            <w:r>
              <w:rPr>
                <w:spacing w:val="-6"/>
                <w:sz w:val="24"/>
              </w:rPr>
              <w:t>治理、规划提供依据。各个指标的监测均按国家标准监测方法进行。项目污染源环境监测</w:t>
            </w:r>
            <w:r>
              <w:rPr>
                <w:spacing w:val="-15"/>
                <w:sz w:val="24"/>
              </w:rPr>
              <w:t>计划表 </w:t>
            </w:r>
            <w:r>
              <w:rPr>
                <w:rFonts w:ascii="Times New Roman" w:eastAsia="Times New Roman"/>
                <w:sz w:val="24"/>
              </w:rPr>
              <w:t>7.6 </w:t>
            </w:r>
            <w:r>
              <w:rPr>
                <w:sz w:val="24"/>
              </w:rPr>
              <w:t>所示。</w:t>
            </w:r>
          </w:p>
          <w:p>
            <w:pPr>
              <w:pStyle w:val="TableParagraph"/>
              <w:spacing w:line="303" w:lineRule="exact"/>
              <w:ind w:left="3336"/>
              <w:jc w:val="both"/>
              <w:rPr>
                <w:b/>
                <w:sz w:val="24"/>
              </w:rPr>
            </w:pPr>
            <w:r>
              <w:rPr>
                <w:b/>
                <w:sz w:val="24"/>
              </w:rPr>
              <w:t>表 </w:t>
            </w:r>
            <w:r>
              <w:rPr>
                <w:rFonts w:ascii="Times New Roman" w:eastAsia="Times New Roman"/>
                <w:b/>
                <w:sz w:val="24"/>
              </w:rPr>
              <w:t>7.6  </w:t>
            </w:r>
            <w:r>
              <w:rPr>
                <w:b/>
                <w:sz w:val="24"/>
              </w:rPr>
              <w:t>环境监测计划一览表</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ind w:left="588"/>
              <w:rPr>
                <w:b/>
                <w:sz w:val="24"/>
              </w:rPr>
            </w:pPr>
            <w:r>
              <w:rPr>
                <w:rFonts w:ascii="Times New Roman" w:eastAsia="Times New Roman"/>
                <w:b/>
                <w:sz w:val="24"/>
              </w:rPr>
              <w:t>7.2.8 </w:t>
            </w:r>
            <w:r>
              <w:rPr>
                <w:b/>
                <w:sz w:val="24"/>
              </w:rPr>
              <w:t>环保投资与环保设施竣工验收清单</w:t>
            </w:r>
          </w:p>
          <w:p>
            <w:pPr>
              <w:pStyle w:val="TableParagraph"/>
              <w:spacing w:line="372" w:lineRule="auto" w:before="175"/>
              <w:ind w:left="108" w:right="-15" w:firstLine="480"/>
              <w:rPr>
                <w:sz w:val="24"/>
              </w:rPr>
            </w:pPr>
            <w:r>
              <w:rPr>
                <w:spacing w:val="-9"/>
                <w:sz w:val="24"/>
              </w:rPr>
              <w:t>该项目总投资 </w:t>
            </w:r>
            <w:r>
              <w:rPr>
                <w:rFonts w:ascii="Times New Roman" w:eastAsia="Times New Roman"/>
                <w:sz w:val="24"/>
              </w:rPr>
              <w:t>140 </w:t>
            </w:r>
            <w:r>
              <w:rPr>
                <w:spacing w:val="-6"/>
                <w:sz w:val="24"/>
              </w:rPr>
              <w:t>万元，其中环保投资 </w:t>
            </w:r>
            <w:r>
              <w:rPr>
                <w:rFonts w:ascii="Times New Roman" w:eastAsia="Times New Roman"/>
                <w:sz w:val="24"/>
              </w:rPr>
              <w:t>77.2 </w:t>
            </w:r>
            <w:r>
              <w:rPr>
                <w:spacing w:val="-4"/>
                <w:sz w:val="24"/>
              </w:rPr>
              <w:t>万元，环保投资占总投资的比例为 </w:t>
            </w:r>
            <w:r>
              <w:rPr>
                <w:rFonts w:ascii="Times New Roman" w:eastAsia="Times New Roman"/>
                <w:sz w:val="24"/>
              </w:rPr>
              <w:t>55%</w:t>
            </w:r>
            <w:r>
              <w:rPr>
                <w:sz w:val="24"/>
              </w:rPr>
              <w:t>。</w:t>
            </w:r>
            <w:r>
              <w:rPr>
                <w:spacing w:val="-5"/>
                <w:sz w:val="24"/>
              </w:rPr>
              <w:t>环保设施投入估算清单见表 </w:t>
            </w:r>
            <w:r>
              <w:rPr>
                <w:rFonts w:ascii="Times New Roman" w:eastAsia="Times New Roman"/>
                <w:sz w:val="24"/>
              </w:rPr>
              <w:t>7.7</w:t>
            </w:r>
            <w:r>
              <w:rPr>
                <w:spacing w:val="-4"/>
                <w:sz w:val="24"/>
              </w:rPr>
              <w:t>，建设项目竣工环境保护验收清单见表 </w:t>
            </w:r>
            <w:r>
              <w:rPr>
                <w:rFonts w:ascii="Times New Roman" w:eastAsia="Times New Roman"/>
                <w:sz w:val="24"/>
              </w:rPr>
              <w:t>7.8</w:t>
            </w:r>
            <w:r>
              <w:rPr>
                <w:sz w:val="24"/>
              </w:rPr>
              <w:t>。</w:t>
            </w:r>
          </w:p>
          <w:p>
            <w:pPr>
              <w:pStyle w:val="TableParagraph"/>
              <w:tabs>
                <w:tab w:pos="4116" w:val="left" w:leader="none"/>
              </w:tabs>
              <w:spacing w:before="5"/>
              <w:ind w:left="3276"/>
              <w:rPr>
                <w:b/>
                <w:sz w:val="24"/>
              </w:rPr>
            </w:pPr>
            <w:r>
              <w:rPr>
                <w:b/>
                <w:sz w:val="24"/>
              </w:rPr>
              <w:t>表</w:t>
            </w:r>
            <w:r>
              <w:rPr>
                <w:b/>
                <w:spacing w:val="-62"/>
                <w:sz w:val="24"/>
              </w:rPr>
              <w:t> </w:t>
            </w:r>
            <w:r>
              <w:rPr>
                <w:rFonts w:ascii="Times New Roman" w:eastAsia="Times New Roman"/>
                <w:b/>
                <w:sz w:val="24"/>
              </w:rPr>
              <w:t>7.7</w:t>
              <w:tab/>
            </w:r>
            <w:r>
              <w:rPr>
                <w:b/>
                <w:sz w:val="24"/>
              </w:rPr>
              <w:t>环保设施投入估算表</w:t>
            </w:r>
          </w:p>
        </w:tc>
      </w:tr>
      <w:tr>
        <w:trPr>
          <w:trHeight w:val="520" w:hRule="atLeast"/>
        </w:trPr>
        <w:tc>
          <w:tcPr>
            <w:tcW w:w="581" w:type="dxa"/>
            <w:vMerge w:val="restart"/>
            <w:tcBorders>
              <w:top w:val="nil"/>
              <w:right w:val="nil"/>
            </w:tcBorders>
          </w:tcPr>
          <w:p>
            <w:pPr>
              <w:pStyle w:val="TableParagraph"/>
              <w:rPr>
                <w:rFonts w:ascii="Times New Roman"/>
                <w:sz w:val="22"/>
              </w:rPr>
            </w:pPr>
          </w:p>
        </w:tc>
        <w:tc>
          <w:tcPr>
            <w:tcW w:w="1912" w:type="dxa"/>
            <w:gridSpan w:val="2"/>
            <w:tcBorders>
              <w:top w:val="single" w:sz="12" w:space="0" w:color="000000"/>
              <w:left w:val="nil"/>
              <w:bottom w:val="single" w:sz="12" w:space="0" w:color="000000"/>
            </w:tcBorders>
          </w:tcPr>
          <w:p>
            <w:pPr>
              <w:pStyle w:val="TableParagraph"/>
              <w:spacing w:before="139"/>
              <w:ind w:left="540"/>
              <w:rPr>
                <w:sz w:val="21"/>
              </w:rPr>
            </w:pPr>
            <w:r>
              <w:rPr>
                <w:sz w:val="21"/>
              </w:rPr>
              <w:t>污染类别</w:t>
            </w:r>
          </w:p>
        </w:tc>
        <w:tc>
          <w:tcPr>
            <w:tcW w:w="2267" w:type="dxa"/>
            <w:tcBorders>
              <w:top w:val="single" w:sz="12" w:space="0" w:color="000000"/>
              <w:bottom w:val="single" w:sz="12" w:space="0" w:color="000000"/>
            </w:tcBorders>
          </w:tcPr>
          <w:p>
            <w:pPr>
              <w:pStyle w:val="TableParagraph"/>
              <w:spacing w:before="139"/>
              <w:ind w:left="165" w:right="159"/>
              <w:jc w:val="center"/>
              <w:rPr>
                <w:sz w:val="21"/>
              </w:rPr>
            </w:pPr>
            <w:r>
              <w:rPr>
                <w:sz w:val="21"/>
              </w:rPr>
              <w:t>污染源</w:t>
            </w:r>
          </w:p>
        </w:tc>
        <w:tc>
          <w:tcPr>
            <w:tcW w:w="2906" w:type="dxa"/>
            <w:tcBorders>
              <w:top w:val="single" w:sz="12" w:space="0" w:color="000000"/>
              <w:bottom w:val="single" w:sz="12" w:space="0" w:color="000000"/>
            </w:tcBorders>
          </w:tcPr>
          <w:p>
            <w:pPr>
              <w:pStyle w:val="TableParagraph"/>
              <w:spacing w:before="139"/>
              <w:ind w:left="1010" w:right="1005"/>
              <w:jc w:val="center"/>
              <w:rPr>
                <w:sz w:val="21"/>
              </w:rPr>
            </w:pPr>
            <w:r>
              <w:rPr>
                <w:sz w:val="21"/>
              </w:rPr>
              <w:t>治理措施</w:t>
            </w:r>
          </w:p>
        </w:tc>
        <w:tc>
          <w:tcPr>
            <w:tcW w:w="1307" w:type="dxa"/>
            <w:tcBorders>
              <w:top w:val="single" w:sz="12" w:space="0" w:color="000000"/>
              <w:bottom w:val="single" w:sz="12" w:space="0" w:color="000000"/>
              <w:right w:val="nil"/>
            </w:tcBorders>
          </w:tcPr>
          <w:p>
            <w:pPr>
              <w:pStyle w:val="TableParagraph"/>
              <w:spacing w:line="263" w:lineRule="exact"/>
              <w:ind w:left="233"/>
              <w:rPr>
                <w:sz w:val="21"/>
              </w:rPr>
            </w:pPr>
            <w:r>
              <w:rPr>
                <w:w w:val="95"/>
                <w:sz w:val="21"/>
              </w:rPr>
              <w:t>投资估算</w:t>
            </w:r>
          </w:p>
          <w:p>
            <w:pPr>
              <w:pStyle w:val="TableParagraph"/>
              <w:spacing w:line="237" w:lineRule="exact"/>
              <w:ind w:left="233"/>
              <w:rPr>
                <w:sz w:val="21"/>
              </w:rPr>
            </w:pPr>
            <w:r>
              <w:rPr>
                <w:w w:val="95"/>
                <w:sz w:val="21"/>
              </w:rPr>
              <w:t>（万元）</w:t>
            </w:r>
          </w:p>
        </w:tc>
        <w:tc>
          <w:tcPr>
            <w:tcW w:w="582" w:type="dxa"/>
            <w:vMerge w:val="restart"/>
            <w:tcBorders>
              <w:top w:val="nil"/>
              <w:left w:val="nil"/>
            </w:tcBorders>
          </w:tcPr>
          <w:p>
            <w:pPr>
              <w:pStyle w:val="TableParagraph"/>
              <w:rPr>
                <w:rFonts w:ascii="Times New Roman"/>
                <w:sz w:val="22"/>
              </w:rPr>
            </w:pPr>
          </w:p>
        </w:tc>
      </w:tr>
      <w:tr>
        <w:trPr>
          <w:trHeight w:val="277" w:hRule="atLeast"/>
        </w:trPr>
        <w:tc>
          <w:tcPr>
            <w:tcW w:w="581" w:type="dxa"/>
            <w:vMerge/>
            <w:tcBorders>
              <w:top w:val="nil"/>
              <w:right w:val="nil"/>
            </w:tcBorders>
          </w:tcPr>
          <w:p>
            <w:pPr>
              <w:rPr>
                <w:sz w:val="2"/>
                <w:szCs w:val="2"/>
              </w:rPr>
            </w:pPr>
          </w:p>
        </w:tc>
        <w:tc>
          <w:tcPr>
            <w:tcW w:w="1912" w:type="dxa"/>
            <w:gridSpan w:val="2"/>
            <w:vMerge w:val="restart"/>
            <w:tcBorders>
              <w:top w:val="single" w:sz="12" w:space="0" w:color="000000"/>
              <w:left w:val="nil"/>
            </w:tcBorders>
          </w:tcPr>
          <w:p>
            <w:pPr>
              <w:pStyle w:val="TableParagraph"/>
              <w:spacing w:before="1"/>
              <w:rPr>
                <w:sz w:val="28"/>
              </w:rPr>
            </w:pPr>
          </w:p>
          <w:p>
            <w:pPr>
              <w:pStyle w:val="TableParagraph"/>
              <w:ind w:left="728" w:right="719"/>
              <w:jc w:val="center"/>
              <w:rPr>
                <w:sz w:val="21"/>
              </w:rPr>
            </w:pPr>
            <w:r>
              <w:rPr>
                <w:sz w:val="21"/>
              </w:rPr>
              <w:t>废气</w:t>
            </w:r>
          </w:p>
        </w:tc>
        <w:tc>
          <w:tcPr>
            <w:tcW w:w="2267" w:type="dxa"/>
            <w:tcBorders>
              <w:top w:val="single" w:sz="12" w:space="0" w:color="000000"/>
              <w:bottom w:val="single" w:sz="2" w:space="0" w:color="000000"/>
            </w:tcBorders>
          </w:tcPr>
          <w:p>
            <w:pPr>
              <w:pStyle w:val="TableParagraph"/>
              <w:spacing w:line="243" w:lineRule="exact" w:before="14"/>
              <w:ind w:left="168" w:right="159"/>
              <w:jc w:val="center"/>
              <w:rPr>
                <w:sz w:val="21"/>
              </w:rPr>
            </w:pPr>
            <w:r>
              <w:rPr>
                <w:sz w:val="21"/>
              </w:rPr>
              <w:t>采剥扬尘、装卸扬尘</w:t>
            </w:r>
          </w:p>
        </w:tc>
        <w:tc>
          <w:tcPr>
            <w:tcW w:w="2906" w:type="dxa"/>
            <w:tcBorders>
              <w:top w:val="single" w:sz="12" w:space="0" w:color="000000"/>
              <w:bottom w:val="single" w:sz="2" w:space="0" w:color="000000"/>
            </w:tcBorders>
          </w:tcPr>
          <w:p>
            <w:pPr>
              <w:pStyle w:val="TableParagraph"/>
              <w:spacing w:line="243" w:lineRule="exact" w:before="14"/>
              <w:ind w:left="827"/>
              <w:rPr>
                <w:sz w:val="21"/>
              </w:rPr>
            </w:pPr>
            <w:r>
              <w:rPr>
                <w:sz w:val="21"/>
              </w:rPr>
              <w:t>喷雾洒水除尘</w:t>
            </w:r>
          </w:p>
        </w:tc>
        <w:tc>
          <w:tcPr>
            <w:tcW w:w="1307" w:type="dxa"/>
            <w:vMerge w:val="restart"/>
            <w:tcBorders>
              <w:top w:val="single" w:sz="12" w:space="0" w:color="000000"/>
              <w:right w:val="nil"/>
            </w:tcBorders>
          </w:tcPr>
          <w:p>
            <w:pPr>
              <w:pStyle w:val="TableParagraph"/>
              <w:spacing w:before="2"/>
              <w:rPr>
                <w:sz w:val="29"/>
              </w:rPr>
            </w:pPr>
          </w:p>
          <w:p>
            <w:pPr>
              <w:pStyle w:val="TableParagraph"/>
              <w:ind w:left="447" w:right="444"/>
              <w:jc w:val="center"/>
              <w:rPr>
                <w:rFonts w:ascii="Times New Roman"/>
                <w:sz w:val="21"/>
              </w:rPr>
            </w:pPr>
            <w:r>
              <w:rPr>
                <w:rFonts w:ascii="Times New Roman"/>
                <w:sz w:val="21"/>
              </w:rPr>
              <w:t>4.0</w:t>
            </w:r>
          </w:p>
        </w:tc>
        <w:tc>
          <w:tcPr>
            <w:tcW w:w="582" w:type="dxa"/>
            <w:vMerge/>
            <w:tcBorders>
              <w:top w:val="nil"/>
              <w:left w:val="nil"/>
            </w:tcBorders>
          </w:tcPr>
          <w:p>
            <w:pPr>
              <w:rPr>
                <w:sz w:val="2"/>
                <w:szCs w:val="2"/>
              </w:rPr>
            </w:pPr>
          </w:p>
        </w:tc>
      </w:tr>
      <w:tr>
        <w:trPr>
          <w:trHeight w:val="350" w:hRule="atLeast"/>
        </w:trPr>
        <w:tc>
          <w:tcPr>
            <w:tcW w:w="581" w:type="dxa"/>
            <w:vMerge/>
            <w:tcBorders>
              <w:top w:val="nil"/>
              <w:right w:val="nil"/>
            </w:tcBorders>
          </w:tcPr>
          <w:p>
            <w:pPr>
              <w:rPr>
                <w:sz w:val="2"/>
                <w:szCs w:val="2"/>
              </w:rPr>
            </w:pPr>
          </w:p>
        </w:tc>
        <w:tc>
          <w:tcPr>
            <w:tcW w:w="1912" w:type="dxa"/>
            <w:gridSpan w:val="2"/>
            <w:vMerge/>
            <w:tcBorders>
              <w:top w:val="nil"/>
              <w:left w:val="nil"/>
            </w:tcBorders>
          </w:tcPr>
          <w:p>
            <w:pPr>
              <w:rPr>
                <w:sz w:val="2"/>
                <w:szCs w:val="2"/>
              </w:rPr>
            </w:pPr>
          </w:p>
        </w:tc>
        <w:tc>
          <w:tcPr>
            <w:tcW w:w="2267" w:type="dxa"/>
            <w:tcBorders>
              <w:top w:val="single" w:sz="2" w:space="0" w:color="000000"/>
              <w:bottom w:val="single" w:sz="2" w:space="0" w:color="000000"/>
            </w:tcBorders>
          </w:tcPr>
          <w:p>
            <w:pPr>
              <w:pStyle w:val="TableParagraph"/>
              <w:spacing w:before="51"/>
              <w:ind w:left="163" w:right="159"/>
              <w:jc w:val="center"/>
              <w:rPr>
                <w:sz w:val="21"/>
              </w:rPr>
            </w:pPr>
            <w:r>
              <w:rPr>
                <w:sz w:val="21"/>
              </w:rPr>
              <w:t>道路扬尘</w:t>
            </w:r>
          </w:p>
        </w:tc>
        <w:tc>
          <w:tcPr>
            <w:tcW w:w="2906" w:type="dxa"/>
            <w:tcBorders>
              <w:top w:val="single" w:sz="2" w:space="0" w:color="000000"/>
              <w:bottom w:val="single" w:sz="2" w:space="0" w:color="000000"/>
            </w:tcBorders>
          </w:tcPr>
          <w:p>
            <w:pPr>
              <w:pStyle w:val="TableParagraph"/>
              <w:spacing w:before="51"/>
              <w:ind w:left="107"/>
              <w:rPr>
                <w:sz w:val="21"/>
              </w:rPr>
            </w:pPr>
            <w:r>
              <w:rPr>
                <w:sz w:val="21"/>
              </w:rPr>
              <w:t>洒水，限速，道路压实、清扫</w:t>
            </w:r>
          </w:p>
        </w:tc>
        <w:tc>
          <w:tcPr>
            <w:tcW w:w="1307" w:type="dxa"/>
            <w:vMerge/>
            <w:tcBorders>
              <w:top w:val="nil"/>
              <w:right w:val="nil"/>
            </w:tcBorders>
          </w:tcPr>
          <w:p>
            <w:pPr>
              <w:rPr>
                <w:sz w:val="2"/>
                <w:szCs w:val="2"/>
              </w:rPr>
            </w:pPr>
          </w:p>
        </w:tc>
        <w:tc>
          <w:tcPr>
            <w:tcW w:w="582" w:type="dxa"/>
            <w:vMerge/>
            <w:tcBorders>
              <w:top w:val="nil"/>
              <w:left w:val="nil"/>
            </w:tcBorders>
          </w:tcPr>
          <w:p>
            <w:pPr>
              <w:rPr>
                <w:sz w:val="2"/>
                <w:szCs w:val="2"/>
              </w:rPr>
            </w:pPr>
          </w:p>
        </w:tc>
      </w:tr>
      <w:tr>
        <w:trPr>
          <w:trHeight w:val="314" w:hRule="atLeast"/>
        </w:trPr>
        <w:tc>
          <w:tcPr>
            <w:tcW w:w="581" w:type="dxa"/>
            <w:vMerge/>
            <w:tcBorders>
              <w:top w:val="nil"/>
              <w:right w:val="nil"/>
            </w:tcBorders>
          </w:tcPr>
          <w:p>
            <w:pPr>
              <w:rPr>
                <w:sz w:val="2"/>
                <w:szCs w:val="2"/>
              </w:rPr>
            </w:pPr>
          </w:p>
        </w:tc>
        <w:tc>
          <w:tcPr>
            <w:tcW w:w="1912" w:type="dxa"/>
            <w:gridSpan w:val="2"/>
            <w:vMerge/>
            <w:tcBorders>
              <w:top w:val="nil"/>
              <w:left w:val="nil"/>
            </w:tcBorders>
          </w:tcPr>
          <w:p>
            <w:pPr>
              <w:rPr>
                <w:sz w:val="2"/>
                <w:szCs w:val="2"/>
              </w:rPr>
            </w:pPr>
          </w:p>
        </w:tc>
        <w:tc>
          <w:tcPr>
            <w:tcW w:w="2267" w:type="dxa"/>
            <w:tcBorders>
              <w:top w:val="single" w:sz="2" w:space="0" w:color="000000"/>
            </w:tcBorders>
          </w:tcPr>
          <w:p>
            <w:pPr>
              <w:pStyle w:val="TableParagraph"/>
              <w:spacing w:before="20"/>
              <w:ind w:left="165" w:right="159"/>
              <w:jc w:val="center"/>
              <w:rPr>
                <w:sz w:val="21"/>
              </w:rPr>
            </w:pPr>
            <w:r>
              <w:rPr>
                <w:sz w:val="21"/>
              </w:rPr>
              <w:t>表土堆场扬尘</w:t>
            </w:r>
          </w:p>
        </w:tc>
        <w:tc>
          <w:tcPr>
            <w:tcW w:w="2906" w:type="dxa"/>
            <w:tcBorders>
              <w:top w:val="single" w:sz="2" w:space="0" w:color="000000"/>
            </w:tcBorders>
          </w:tcPr>
          <w:p>
            <w:pPr>
              <w:pStyle w:val="TableParagraph"/>
              <w:spacing w:before="20"/>
              <w:ind w:left="947"/>
              <w:rPr>
                <w:sz w:val="21"/>
              </w:rPr>
            </w:pPr>
            <w:r>
              <w:rPr>
                <w:sz w:val="21"/>
              </w:rPr>
              <w:t>洒水抑尘</w:t>
            </w:r>
          </w:p>
        </w:tc>
        <w:tc>
          <w:tcPr>
            <w:tcW w:w="1307" w:type="dxa"/>
            <w:vMerge/>
            <w:tcBorders>
              <w:top w:val="nil"/>
              <w:right w:val="nil"/>
            </w:tcBorders>
          </w:tcPr>
          <w:p>
            <w:pPr>
              <w:rPr>
                <w:sz w:val="2"/>
                <w:szCs w:val="2"/>
              </w:rPr>
            </w:pPr>
          </w:p>
        </w:tc>
        <w:tc>
          <w:tcPr>
            <w:tcW w:w="582" w:type="dxa"/>
            <w:vMerge/>
            <w:tcBorders>
              <w:top w:val="nil"/>
              <w:left w:val="nil"/>
            </w:tcBorders>
          </w:tcPr>
          <w:p>
            <w:pPr>
              <w:rPr>
                <w:sz w:val="2"/>
                <w:szCs w:val="2"/>
              </w:rPr>
            </w:pPr>
          </w:p>
        </w:tc>
      </w:tr>
      <w:tr>
        <w:trPr>
          <w:trHeight w:val="630" w:hRule="atLeast"/>
        </w:trPr>
        <w:tc>
          <w:tcPr>
            <w:tcW w:w="581" w:type="dxa"/>
            <w:vMerge/>
            <w:tcBorders>
              <w:top w:val="nil"/>
              <w:right w:val="nil"/>
            </w:tcBorders>
          </w:tcPr>
          <w:p>
            <w:pPr>
              <w:rPr>
                <w:sz w:val="2"/>
                <w:szCs w:val="2"/>
              </w:rPr>
            </w:pPr>
          </w:p>
        </w:tc>
        <w:tc>
          <w:tcPr>
            <w:tcW w:w="581" w:type="dxa"/>
            <w:tcBorders>
              <w:left w:val="nil"/>
            </w:tcBorders>
          </w:tcPr>
          <w:p>
            <w:pPr>
              <w:pStyle w:val="TableParagraph"/>
              <w:spacing w:line="300" w:lineRule="atLeast" w:before="15"/>
              <w:ind w:left="190" w:right="174"/>
              <w:rPr>
                <w:sz w:val="21"/>
              </w:rPr>
            </w:pPr>
            <w:r>
              <w:rPr>
                <w:sz w:val="21"/>
              </w:rPr>
              <w:t>废水</w:t>
            </w:r>
          </w:p>
        </w:tc>
        <w:tc>
          <w:tcPr>
            <w:tcW w:w="1331" w:type="dxa"/>
          </w:tcPr>
          <w:p>
            <w:pPr>
              <w:pStyle w:val="TableParagraph"/>
              <w:spacing w:before="2"/>
              <w:rPr>
                <w:sz w:val="15"/>
              </w:rPr>
            </w:pPr>
          </w:p>
          <w:p>
            <w:pPr>
              <w:pStyle w:val="TableParagraph"/>
              <w:spacing w:before="1"/>
              <w:ind w:left="224" w:right="217"/>
              <w:jc w:val="center"/>
              <w:rPr>
                <w:sz w:val="21"/>
              </w:rPr>
            </w:pPr>
            <w:r>
              <w:rPr>
                <w:sz w:val="21"/>
              </w:rPr>
              <w:t>人员生活</w:t>
            </w:r>
          </w:p>
        </w:tc>
        <w:tc>
          <w:tcPr>
            <w:tcW w:w="2267" w:type="dxa"/>
          </w:tcPr>
          <w:p>
            <w:pPr>
              <w:pStyle w:val="TableParagraph"/>
              <w:spacing w:before="2"/>
              <w:rPr>
                <w:sz w:val="15"/>
              </w:rPr>
            </w:pPr>
          </w:p>
          <w:p>
            <w:pPr>
              <w:pStyle w:val="TableParagraph"/>
              <w:spacing w:before="1"/>
              <w:ind w:left="163" w:right="159"/>
              <w:jc w:val="center"/>
              <w:rPr>
                <w:sz w:val="21"/>
              </w:rPr>
            </w:pPr>
            <w:r>
              <w:rPr>
                <w:sz w:val="21"/>
              </w:rPr>
              <w:t>生活污水</w:t>
            </w:r>
          </w:p>
        </w:tc>
        <w:tc>
          <w:tcPr>
            <w:tcW w:w="2906" w:type="dxa"/>
          </w:tcPr>
          <w:p>
            <w:pPr>
              <w:pStyle w:val="TableParagraph"/>
              <w:spacing w:before="2"/>
              <w:rPr>
                <w:sz w:val="15"/>
              </w:rPr>
            </w:pPr>
          </w:p>
          <w:p>
            <w:pPr>
              <w:pStyle w:val="TableParagraph"/>
              <w:spacing w:before="1"/>
              <w:ind w:left="717"/>
              <w:rPr>
                <w:sz w:val="21"/>
              </w:rPr>
            </w:pPr>
            <w:r>
              <w:rPr>
                <w:sz w:val="21"/>
              </w:rPr>
              <w:t>依托砖厂化粪池</w:t>
            </w:r>
          </w:p>
        </w:tc>
        <w:tc>
          <w:tcPr>
            <w:tcW w:w="1307" w:type="dxa"/>
            <w:tcBorders>
              <w:right w:val="nil"/>
            </w:tcBorders>
          </w:tcPr>
          <w:p>
            <w:pPr>
              <w:pStyle w:val="TableParagraph"/>
              <w:spacing w:before="3"/>
              <w:rPr>
                <w:sz w:val="16"/>
              </w:rPr>
            </w:pPr>
          </w:p>
          <w:p>
            <w:pPr>
              <w:pStyle w:val="TableParagraph"/>
              <w:spacing w:before="1"/>
              <w:ind w:left="4"/>
              <w:jc w:val="center"/>
              <w:rPr>
                <w:rFonts w:ascii="Times New Roman"/>
                <w:sz w:val="21"/>
              </w:rPr>
            </w:pPr>
            <w:r>
              <w:rPr>
                <w:rFonts w:ascii="Times New Roman"/>
                <w:w w:val="99"/>
                <w:sz w:val="21"/>
              </w:rPr>
              <w:t>/</w:t>
            </w:r>
          </w:p>
        </w:tc>
        <w:tc>
          <w:tcPr>
            <w:tcW w:w="582" w:type="dxa"/>
            <w:vMerge/>
            <w:tcBorders>
              <w:top w:val="nil"/>
              <w:left w:val="nil"/>
            </w:tcBorders>
          </w:tcPr>
          <w:p>
            <w:pPr>
              <w:rPr>
                <w:sz w:val="2"/>
                <w:szCs w:val="2"/>
              </w:rPr>
            </w:pPr>
          </w:p>
        </w:tc>
      </w:tr>
      <w:tr>
        <w:trPr>
          <w:trHeight w:val="610" w:hRule="atLeast"/>
        </w:trPr>
        <w:tc>
          <w:tcPr>
            <w:tcW w:w="581" w:type="dxa"/>
            <w:vMerge/>
            <w:tcBorders>
              <w:top w:val="nil"/>
              <w:right w:val="nil"/>
            </w:tcBorders>
          </w:tcPr>
          <w:p>
            <w:pPr>
              <w:rPr>
                <w:sz w:val="2"/>
                <w:szCs w:val="2"/>
              </w:rPr>
            </w:pPr>
          </w:p>
        </w:tc>
        <w:tc>
          <w:tcPr>
            <w:tcW w:w="581" w:type="dxa"/>
            <w:vMerge w:val="restart"/>
            <w:tcBorders>
              <w:left w:val="nil"/>
            </w:tcBorders>
          </w:tcPr>
          <w:p>
            <w:pPr>
              <w:pStyle w:val="TableParagraph"/>
              <w:spacing w:before="4"/>
              <w:rPr>
                <w:sz w:val="26"/>
              </w:rPr>
            </w:pPr>
          </w:p>
          <w:p>
            <w:pPr>
              <w:pStyle w:val="TableParagraph"/>
              <w:spacing w:line="266" w:lineRule="auto"/>
              <w:ind w:left="190" w:right="174"/>
              <w:rPr>
                <w:sz w:val="21"/>
              </w:rPr>
            </w:pPr>
            <w:r>
              <w:rPr>
                <w:sz w:val="21"/>
              </w:rPr>
              <w:t>固废</w:t>
            </w:r>
          </w:p>
        </w:tc>
        <w:tc>
          <w:tcPr>
            <w:tcW w:w="1331" w:type="dxa"/>
          </w:tcPr>
          <w:p>
            <w:pPr>
              <w:pStyle w:val="TableParagraph"/>
              <w:spacing w:before="6"/>
              <w:rPr>
                <w:sz w:val="14"/>
              </w:rPr>
            </w:pPr>
          </w:p>
          <w:p>
            <w:pPr>
              <w:pStyle w:val="TableParagraph"/>
              <w:spacing w:before="1"/>
              <w:ind w:left="224" w:right="217"/>
              <w:jc w:val="center"/>
              <w:rPr>
                <w:sz w:val="21"/>
              </w:rPr>
            </w:pPr>
            <w:r>
              <w:rPr>
                <w:sz w:val="21"/>
              </w:rPr>
              <w:t>工作人员</w:t>
            </w:r>
          </w:p>
        </w:tc>
        <w:tc>
          <w:tcPr>
            <w:tcW w:w="2267" w:type="dxa"/>
          </w:tcPr>
          <w:p>
            <w:pPr>
              <w:pStyle w:val="TableParagraph"/>
              <w:spacing w:before="6"/>
              <w:rPr>
                <w:sz w:val="14"/>
              </w:rPr>
            </w:pPr>
          </w:p>
          <w:p>
            <w:pPr>
              <w:pStyle w:val="TableParagraph"/>
              <w:spacing w:before="1"/>
              <w:ind w:left="163" w:right="159"/>
              <w:jc w:val="center"/>
              <w:rPr>
                <w:sz w:val="21"/>
              </w:rPr>
            </w:pPr>
            <w:r>
              <w:rPr>
                <w:sz w:val="21"/>
              </w:rPr>
              <w:t>生活垃圾</w:t>
            </w:r>
          </w:p>
        </w:tc>
        <w:tc>
          <w:tcPr>
            <w:tcW w:w="2906" w:type="dxa"/>
          </w:tcPr>
          <w:p>
            <w:pPr>
              <w:pStyle w:val="TableParagraph"/>
              <w:spacing w:before="6"/>
              <w:rPr>
                <w:sz w:val="14"/>
              </w:rPr>
            </w:pPr>
          </w:p>
          <w:p>
            <w:pPr>
              <w:pStyle w:val="TableParagraph"/>
              <w:spacing w:before="1"/>
              <w:ind w:left="928"/>
              <w:rPr>
                <w:sz w:val="21"/>
              </w:rPr>
            </w:pPr>
            <w:r>
              <w:rPr>
                <w:sz w:val="21"/>
              </w:rPr>
              <w:t>垃圾桶若干</w:t>
            </w:r>
          </w:p>
        </w:tc>
        <w:tc>
          <w:tcPr>
            <w:tcW w:w="1307" w:type="dxa"/>
            <w:tcBorders>
              <w:right w:val="nil"/>
            </w:tcBorders>
          </w:tcPr>
          <w:p>
            <w:pPr>
              <w:pStyle w:val="TableParagraph"/>
              <w:spacing w:before="7"/>
              <w:rPr>
                <w:sz w:val="15"/>
              </w:rPr>
            </w:pPr>
          </w:p>
          <w:p>
            <w:pPr>
              <w:pStyle w:val="TableParagraph"/>
              <w:spacing w:before="1"/>
              <w:ind w:left="447" w:right="444"/>
              <w:jc w:val="center"/>
              <w:rPr>
                <w:rFonts w:ascii="Times New Roman"/>
                <w:sz w:val="21"/>
              </w:rPr>
            </w:pPr>
            <w:r>
              <w:rPr>
                <w:rFonts w:ascii="Times New Roman"/>
                <w:sz w:val="21"/>
              </w:rPr>
              <w:t>0.2</w:t>
            </w:r>
          </w:p>
        </w:tc>
        <w:tc>
          <w:tcPr>
            <w:tcW w:w="582" w:type="dxa"/>
            <w:vMerge/>
            <w:tcBorders>
              <w:top w:val="nil"/>
              <w:left w:val="nil"/>
            </w:tcBorders>
          </w:tcPr>
          <w:p>
            <w:pPr>
              <w:rPr>
                <w:sz w:val="2"/>
                <w:szCs w:val="2"/>
              </w:rPr>
            </w:pPr>
          </w:p>
        </w:tc>
      </w:tr>
      <w:tr>
        <w:trPr>
          <w:trHeight w:val="596" w:hRule="atLeast"/>
        </w:trPr>
        <w:tc>
          <w:tcPr>
            <w:tcW w:w="581" w:type="dxa"/>
            <w:vMerge/>
            <w:tcBorders>
              <w:top w:val="nil"/>
              <w:right w:val="nil"/>
            </w:tcBorders>
          </w:tcPr>
          <w:p>
            <w:pPr>
              <w:rPr>
                <w:sz w:val="2"/>
                <w:szCs w:val="2"/>
              </w:rPr>
            </w:pPr>
          </w:p>
        </w:tc>
        <w:tc>
          <w:tcPr>
            <w:tcW w:w="581" w:type="dxa"/>
            <w:vMerge/>
            <w:tcBorders>
              <w:top w:val="nil"/>
              <w:left w:val="nil"/>
            </w:tcBorders>
          </w:tcPr>
          <w:p>
            <w:pPr>
              <w:rPr>
                <w:sz w:val="2"/>
                <w:szCs w:val="2"/>
              </w:rPr>
            </w:pPr>
          </w:p>
        </w:tc>
        <w:tc>
          <w:tcPr>
            <w:tcW w:w="1331" w:type="dxa"/>
          </w:tcPr>
          <w:p>
            <w:pPr>
              <w:pStyle w:val="TableParagraph"/>
              <w:spacing w:before="178"/>
              <w:ind w:left="221" w:right="217"/>
              <w:jc w:val="center"/>
              <w:rPr>
                <w:sz w:val="21"/>
              </w:rPr>
            </w:pPr>
            <w:r>
              <w:rPr>
                <w:sz w:val="21"/>
              </w:rPr>
              <w:t>采场</w:t>
            </w:r>
          </w:p>
        </w:tc>
        <w:tc>
          <w:tcPr>
            <w:tcW w:w="2267" w:type="dxa"/>
          </w:tcPr>
          <w:p>
            <w:pPr>
              <w:pStyle w:val="TableParagraph"/>
              <w:spacing w:before="171"/>
              <w:ind w:left="163" w:right="159"/>
              <w:jc w:val="center"/>
              <w:rPr>
                <w:sz w:val="21"/>
              </w:rPr>
            </w:pPr>
            <w:r>
              <w:rPr>
                <w:sz w:val="21"/>
              </w:rPr>
              <w:t>采场表土</w:t>
            </w:r>
          </w:p>
        </w:tc>
        <w:tc>
          <w:tcPr>
            <w:tcW w:w="2906" w:type="dxa"/>
          </w:tcPr>
          <w:p>
            <w:pPr>
              <w:pStyle w:val="TableParagraph"/>
              <w:spacing w:line="280" w:lineRule="atLeast" w:before="21"/>
              <w:ind w:left="107" w:right="38"/>
              <w:rPr>
                <w:sz w:val="21"/>
              </w:rPr>
            </w:pPr>
            <w:r>
              <w:rPr>
                <w:sz w:val="21"/>
              </w:rPr>
              <w:t>设有挡土墙、截排水设施的表土堆场</w:t>
            </w:r>
          </w:p>
        </w:tc>
        <w:tc>
          <w:tcPr>
            <w:tcW w:w="1307" w:type="dxa"/>
            <w:tcBorders>
              <w:right w:val="nil"/>
            </w:tcBorders>
          </w:tcPr>
          <w:p>
            <w:pPr>
              <w:pStyle w:val="TableParagraph"/>
              <w:spacing w:before="192"/>
              <w:ind w:left="3"/>
              <w:jc w:val="center"/>
              <w:rPr>
                <w:rFonts w:ascii="Times New Roman"/>
                <w:sz w:val="21"/>
              </w:rPr>
            </w:pPr>
            <w:r>
              <w:rPr>
                <w:rFonts w:ascii="Times New Roman"/>
                <w:w w:val="99"/>
                <w:sz w:val="21"/>
              </w:rPr>
              <w:t>8</w:t>
            </w:r>
          </w:p>
        </w:tc>
        <w:tc>
          <w:tcPr>
            <w:tcW w:w="582" w:type="dxa"/>
            <w:vMerge/>
            <w:tcBorders>
              <w:top w:val="nil"/>
              <w:left w:val="nil"/>
            </w:tcBorders>
          </w:tcPr>
          <w:p>
            <w:pPr>
              <w:rPr>
                <w:sz w:val="2"/>
                <w:szCs w:val="2"/>
              </w:rPr>
            </w:pPr>
          </w:p>
        </w:tc>
      </w:tr>
      <w:tr>
        <w:trPr>
          <w:trHeight w:val="597" w:hRule="atLeast"/>
        </w:trPr>
        <w:tc>
          <w:tcPr>
            <w:tcW w:w="581" w:type="dxa"/>
            <w:vMerge/>
            <w:tcBorders>
              <w:top w:val="nil"/>
              <w:right w:val="nil"/>
            </w:tcBorders>
          </w:tcPr>
          <w:p>
            <w:pPr>
              <w:rPr>
                <w:sz w:val="2"/>
                <w:szCs w:val="2"/>
              </w:rPr>
            </w:pPr>
          </w:p>
        </w:tc>
        <w:tc>
          <w:tcPr>
            <w:tcW w:w="1912" w:type="dxa"/>
            <w:gridSpan w:val="2"/>
            <w:tcBorders>
              <w:left w:val="nil"/>
              <w:bottom w:val="single" w:sz="12" w:space="0" w:color="000000"/>
            </w:tcBorders>
          </w:tcPr>
          <w:p>
            <w:pPr>
              <w:pStyle w:val="TableParagraph"/>
              <w:spacing w:before="179"/>
              <w:ind w:left="540"/>
              <w:rPr>
                <w:sz w:val="21"/>
              </w:rPr>
            </w:pPr>
            <w:r>
              <w:rPr>
                <w:sz w:val="21"/>
              </w:rPr>
              <w:t>生态保护</w:t>
            </w:r>
          </w:p>
        </w:tc>
        <w:tc>
          <w:tcPr>
            <w:tcW w:w="2267" w:type="dxa"/>
            <w:tcBorders>
              <w:bottom w:val="single" w:sz="12" w:space="0" w:color="000000"/>
            </w:tcBorders>
          </w:tcPr>
          <w:p>
            <w:pPr>
              <w:pStyle w:val="TableParagraph"/>
              <w:spacing w:before="179"/>
              <w:ind w:left="165" w:right="159"/>
              <w:jc w:val="center"/>
              <w:rPr>
                <w:sz w:val="21"/>
              </w:rPr>
            </w:pPr>
            <w:r>
              <w:rPr>
                <w:sz w:val="21"/>
              </w:rPr>
              <w:t>水土保持工程</w:t>
            </w:r>
          </w:p>
        </w:tc>
        <w:tc>
          <w:tcPr>
            <w:tcW w:w="2906" w:type="dxa"/>
            <w:tcBorders>
              <w:bottom w:val="single" w:sz="12" w:space="0" w:color="000000"/>
            </w:tcBorders>
          </w:tcPr>
          <w:p>
            <w:pPr>
              <w:pStyle w:val="TableParagraph"/>
              <w:spacing w:line="300" w:lineRule="exact"/>
              <w:ind w:left="1243" w:right="38" w:hanging="1136"/>
              <w:rPr>
                <w:sz w:val="21"/>
              </w:rPr>
            </w:pPr>
            <w:r>
              <w:rPr>
                <w:sz w:val="21"/>
              </w:rPr>
              <w:t>包括土石方工程、土地整理工程等</w:t>
            </w:r>
          </w:p>
        </w:tc>
        <w:tc>
          <w:tcPr>
            <w:tcW w:w="1307" w:type="dxa"/>
            <w:tcBorders>
              <w:bottom w:val="single" w:sz="12" w:space="0" w:color="000000"/>
              <w:right w:val="nil"/>
            </w:tcBorders>
          </w:tcPr>
          <w:p>
            <w:pPr>
              <w:pStyle w:val="TableParagraph"/>
              <w:spacing w:before="193"/>
              <w:ind w:left="449" w:right="444"/>
              <w:jc w:val="center"/>
              <w:rPr>
                <w:rFonts w:ascii="Times New Roman"/>
                <w:sz w:val="21"/>
              </w:rPr>
            </w:pPr>
            <w:r>
              <w:rPr>
                <w:rFonts w:ascii="Times New Roman"/>
                <w:sz w:val="21"/>
              </w:rPr>
              <w:t>15.0</w:t>
            </w:r>
          </w:p>
        </w:tc>
        <w:tc>
          <w:tcPr>
            <w:tcW w:w="582" w:type="dxa"/>
            <w:vMerge/>
            <w:tcBorders>
              <w:top w:val="nil"/>
              <w:left w:val="nil"/>
            </w:tcBorders>
          </w:tcPr>
          <w:p>
            <w:pPr>
              <w:rPr>
                <w:sz w:val="2"/>
                <w:szCs w:val="2"/>
              </w:rPr>
            </w:pPr>
          </w:p>
        </w:tc>
      </w:tr>
    </w:tbl>
    <w:p>
      <w:pPr>
        <w:rPr>
          <w:sz w:val="2"/>
          <w:szCs w:val="2"/>
        </w:rPr>
      </w:pPr>
      <w:r>
        <w:rPr/>
        <w:pict>
          <v:shape style="position:absolute;margin-left:67.680pt;margin-top:384.850006pt;width:467.85pt;height:98.8pt;mso-position-horizontal-relative:page;mso-position-vertical-relative:page;z-index:25168793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46"/>
                    <w:gridCol w:w="1095"/>
                    <w:gridCol w:w="1140"/>
                    <w:gridCol w:w="2175"/>
                    <w:gridCol w:w="870"/>
                    <w:gridCol w:w="3187"/>
                  </w:tblGrid>
                  <w:tr>
                    <w:trPr>
                      <w:trHeight w:val="623" w:hRule="atLeast"/>
                    </w:trPr>
                    <w:tc>
                      <w:tcPr>
                        <w:tcW w:w="846" w:type="dxa"/>
                        <w:tcBorders>
                          <w:left w:val="nil"/>
                          <w:right w:val="single" w:sz="6" w:space="0" w:color="000000"/>
                        </w:tcBorders>
                      </w:tcPr>
                      <w:p>
                        <w:pPr>
                          <w:pStyle w:val="TableParagraph"/>
                          <w:spacing w:before="20"/>
                          <w:ind w:left="228"/>
                          <w:rPr>
                            <w:sz w:val="21"/>
                          </w:rPr>
                        </w:pPr>
                        <w:r>
                          <w:rPr>
                            <w:spacing w:val="-1"/>
                            <w:w w:val="95"/>
                            <w:sz w:val="21"/>
                          </w:rPr>
                          <w:t>监测</w:t>
                        </w:r>
                      </w:p>
                      <w:p>
                        <w:pPr>
                          <w:pStyle w:val="TableParagraph"/>
                          <w:spacing w:before="43"/>
                          <w:ind w:left="228"/>
                          <w:rPr>
                            <w:sz w:val="21"/>
                          </w:rPr>
                        </w:pPr>
                        <w:r>
                          <w:rPr>
                            <w:spacing w:val="-1"/>
                            <w:w w:val="95"/>
                            <w:sz w:val="21"/>
                          </w:rPr>
                          <w:t>类别</w:t>
                        </w:r>
                      </w:p>
                    </w:tc>
                    <w:tc>
                      <w:tcPr>
                        <w:tcW w:w="1095" w:type="dxa"/>
                        <w:tcBorders>
                          <w:left w:val="single" w:sz="6" w:space="0" w:color="000000"/>
                          <w:right w:val="single" w:sz="6" w:space="0" w:color="000000"/>
                        </w:tcBorders>
                      </w:tcPr>
                      <w:p>
                        <w:pPr>
                          <w:pStyle w:val="TableParagraph"/>
                          <w:spacing w:before="176"/>
                          <w:ind w:left="217" w:right="192"/>
                          <w:jc w:val="center"/>
                          <w:rPr>
                            <w:sz w:val="21"/>
                          </w:rPr>
                        </w:pPr>
                        <w:r>
                          <w:rPr>
                            <w:sz w:val="21"/>
                          </w:rPr>
                          <w:t>污染源</w:t>
                        </w:r>
                      </w:p>
                    </w:tc>
                    <w:tc>
                      <w:tcPr>
                        <w:tcW w:w="1140" w:type="dxa"/>
                        <w:tcBorders>
                          <w:left w:val="single" w:sz="6" w:space="0" w:color="000000"/>
                          <w:right w:val="single" w:sz="6" w:space="0" w:color="000000"/>
                        </w:tcBorders>
                      </w:tcPr>
                      <w:p>
                        <w:pPr>
                          <w:pStyle w:val="TableParagraph"/>
                          <w:spacing w:before="176"/>
                          <w:ind w:left="156"/>
                          <w:rPr>
                            <w:sz w:val="21"/>
                          </w:rPr>
                        </w:pPr>
                        <w:r>
                          <w:rPr>
                            <w:sz w:val="21"/>
                          </w:rPr>
                          <w:t>监测项目</w:t>
                        </w:r>
                      </w:p>
                    </w:tc>
                    <w:tc>
                      <w:tcPr>
                        <w:tcW w:w="2175" w:type="dxa"/>
                        <w:tcBorders>
                          <w:left w:val="single" w:sz="6" w:space="0" w:color="000000"/>
                          <w:right w:val="single" w:sz="6" w:space="0" w:color="000000"/>
                        </w:tcBorders>
                      </w:tcPr>
                      <w:p>
                        <w:pPr>
                          <w:pStyle w:val="TableParagraph"/>
                          <w:spacing w:before="176"/>
                          <w:ind w:left="653" w:right="626"/>
                          <w:jc w:val="center"/>
                          <w:rPr>
                            <w:sz w:val="21"/>
                          </w:rPr>
                        </w:pPr>
                        <w:r>
                          <w:rPr>
                            <w:sz w:val="21"/>
                          </w:rPr>
                          <w:t>监测点位</w:t>
                        </w:r>
                      </w:p>
                    </w:tc>
                    <w:tc>
                      <w:tcPr>
                        <w:tcW w:w="870" w:type="dxa"/>
                        <w:tcBorders>
                          <w:left w:val="single" w:sz="6" w:space="0" w:color="000000"/>
                          <w:right w:val="single" w:sz="4" w:space="0" w:color="000000"/>
                        </w:tcBorders>
                      </w:tcPr>
                      <w:p>
                        <w:pPr>
                          <w:pStyle w:val="TableParagraph"/>
                          <w:spacing w:before="20"/>
                          <w:ind w:left="232"/>
                          <w:rPr>
                            <w:sz w:val="21"/>
                          </w:rPr>
                        </w:pPr>
                        <w:r>
                          <w:rPr>
                            <w:spacing w:val="-1"/>
                            <w:w w:val="95"/>
                            <w:sz w:val="21"/>
                          </w:rPr>
                          <w:t>监测</w:t>
                        </w:r>
                      </w:p>
                      <w:p>
                        <w:pPr>
                          <w:pStyle w:val="TableParagraph"/>
                          <w:spacing w:before="43"/>
                          <w:ind w:left="232"/>
                          <w:rPr>
                            <w:sz w:val="21"/>
                          </w:rPr>
                        </w:pPr>
                        <w:r>
                          <w:rPr>
                            <w:spacing w:val="-1"/>
                            <w:w w:val="95"/>
                            <w:sz w:val="21"/>
                          </w:rPr>
                          <w:t>频率</w:t>
                        </w:r>
                      </w:p>
                    </w:tc>
                    <w:tc>
                      <w:tcPr>
                        <w:tcW w:w="3187" w:type="dxa"/>
                        <w:tcBorders>
                          <w:left w:val="single" w:sz="4" w:space="0" w:color="000000"/>
                          <w:right w:val="nil"/>
                        </w:tcBorders>
                      </w:tcPr>
                      <w:p>
                        <w:pPr>
                          <w:pStyle w:val="TableParagraph"/>
                          <w:spacing w:before="176"/>
                          <w:ind w:left="109" w:right="90"/>
                          <w:jc w:val="center"/>
                          <w:rPr>
                            <w:sz w:val="21"/>
                          </w:rPr>
                        </w:pPr>
                        <w:r>
                          <w:rPr>
                            <w:sz w:val="21"/>
                          </w:rPr>
                          <w:t>控制标准</w:t>
                        </w:r>
                      </w:p>
                    </w:tc>
                  </w:tr>
                  <w:tr>
                    <w:trPr>
                      <w:trHeight w:val="624" w:hRule="atLeast"/>
                    </w:trPr>
                    <w:tc>
                      <w:tcPr>
                        <w:tcW w:w="846" w:type="dxa"/>
                        <w:tcBorders>
                          <w:left w:val="nil"/>
                          <w:bottom w:val="single" w:sz="6" w:space="0" w:color="000000"/>
                          <w:right w:val="single" w:sz="6" w:space="0" w:color="000000"/>
                        </w:tcBorders>
                      </w:tcPr>
                      <w:p>
                        <w:pPr>
                          <w:pStyle w:val="TableParagraph"/>
                          <w:spacing w:before="177"/>
                          <w:ind w:left="206" w:right="171"/>
                          <w:jc w:val="center"/>
                          <w:rPr>
                            <w:sz w:val="21"/>
                          </w:rPr>
                        </w:pPr>
                        <w:r>
                          <w:rPr>
                            <w:sz w:val="21"/>
                          </w:rPr>
                          <w:t>废气</w:t>
                        </w:r>
                      </w:p>
                    </w:tc>
                    <w:tc>
                      <w:tcPr>
                        <w:tcW w:w="1095" w:type="dxa"/>
                        <w:tcBorders>
                          <w:left w:val="single" w:sz="6" w:space="0" w:color="000000"/>
                          <w:bottom w:val="single" w:sz="6" w:space="0" w:color="000000"/>
                          <w:right w:val="single" w:sz="6" w:space="0" w:color="000000"/>
                        </w:tcBorders>
                      </w:tcPr>
                      <w:p>
                        <w:pPr>
                          <w:pStyle w:val="TableParagraph"/>
                          <w:spacing w:before="177"/>
                          <w:ind w:left="217" w:right="192"/>
                          <w:jc w:val="center"/>
                          <w:rPr>
                            <w:sz w:val="21"/>
                          </w:rPr>
                        </w:pPr>
                        <w:r>
                          <w:rPr>
                            <w:sz w:val="21"/>
                          </w:rPr>
                          <w:t>厂界</w:t>
                        </w:r>
                      </w:p>
                    </w:tc>
                    <w:tc>
                      <w:tcPr>
                        <w:tcW w:w="1140" w:type="dxa"/>
                        <w:tcBorders>
                          <w:left w:val="single" w:sz="6" w:space="0" w:color="000000"/>
                          <w:bottom w:val="single" w:sz="6" w:space="0" w:color="000000"/>
                          <w:right w:val="single" w:sz="6" w:space="0" w:color="000000"/>
                        </w:tcBorders>
                      </w:tcPr>
                      <w:p>
                        <w:pPr>
                          <w:pStyle w:val="TableParagraph"/>
                          <w:spacing w:before="177"/>
                          <w:ind w:left="261"/>
                          <w:rPr>
                            <w:sz w:val="21"/>
                          </w:rPr>
                        </w:pPr>
                        <w:r>
                          <w:rPr>
                            <w:sz w:val="21"/>
                          </w:rPr>
                          <w:t>颗粒物</w:t>
                        </w:r>
                      </w:p>
                    </w:tc>
                    <w:tc>
                      <w:tcPr>
                        <w:tcW w:w="2175" w:type="dxa"/>
                        <w:tcBorders>
                          <w:left w:val="single" w:sz="6" w:space="0" w:color="000000"/>
                          <w:bottom w:val="single" w:sz="6" w:space="0" w:color="000000"/>
                          <w:right w:val="single" w:sz="6" w:space="0" w:color="000000"/>
                        </w:tcBorders>
                      </w:tcPr>
                      <w:p>
                        <w:pPr>
                          <w:pStyle w:val="TableParagraph"/>
                          <w:spacing w:before="21"/>
                          <w:ind w:left="115" w:right="-29"/>
                          <w:rPr>
                            <w:sz w:val="21"/>
                          </w:rPr>
                        </w:pPr>
                        <w:r>
                          <w:rPr>
                            <w:spacing w:val="5"/>
                            <w:sz w:val="21"/>
                          </w:rPr>
                          <w:t>矿区上风向设</w:t>
                        </w:r>
                        <w:r>
                          <w:rPr>
                            <w:rFonts w:ascii="Times New Roman" w:eastAsia="Times New Roman"/>
                            <w:sz w:val="21"/>
                          </w:rPr>
                          <w:t>1</w:t>
                        </w:r>
                        <w:r>
                          <w:rPr>
                            <w:rFonts w:ascii="Times New Roman" w:eastAsia="Times New Roman"/>
                            <w:spacing w:val="-24"/>
                            <w:sz w:val="21"/>
                          </w:rPr>
                          <w:t> </w:t>
                        </w:r>
                        <w:r>
                          <w:rPr>
                            <w:sz w:val="21"/>
                          </w:rPr>
                          <w:t>个点，</w:t>
                        </w:r>
                      </w:p>
                      <w:p>
                        <w:pPr>
                          <w:pStyle w:val="TableParagraph"/>
                          <w:spacing w:before="43"/>
                          <w:ind w:left="465"/>
                          <w:rPr>
                            <w:sz w:val="21"/>
                          </w:rPr>
                        </w:pPr>
                        <w:r>
                          <w:rPr>
                            <w:sz w:val="21"/>
                          </w:rPr>
                          <w:t>下风向设 </w:t>
                        </w:r>
                        <w:r>
                          <w:rPr>
                            <w:rFonts w:ascii="Times New Roman" w:eastAsia="Times New Roman"/>
                            <w:sz w:val="21"/>
                          </w:rPr>
                          <w:t>3 </w:t>
                        </w:r>
                        <w:r>
                          <w:rPr>
                            <w:sz w:val="21"/>
                          </w:rPr>
                          <w:t>个</w:t>
                        </w:r>
                      </w:p>
                    </w:tc>
                    <w:tc>
                      <w:tcPr>
                        <w:tcW w:w="870" w:type="dxa"/>
                        <w:tcBorders>
                          <w:left w:val="single" w:sz="6" w:space="0" w:color="000000"/>
                          <w:bottom w:val="single" w:sz="6" w:space="0" w:color="000000"/>
                          <w:right w:val="single" w:sz="4" w:space="0" w:color="000000"/>
                        </w:tcBorders>
                      </w:tcPr>
                      <w:p>
                        <w:pPr>
                          <w:pStyle w:val="TableParagraph"/>
                          <w:spacing w:before="21"/>
                          <w:ind w:left="232"/>
                          <w:rPr>
                            <w:sz w:val="21"/>
                          </w:rPr>
                        </w:pPr>
                        <w:r>
                          <w:rPr>
                            <w:spacing w:val="-1"/>
                            <w:w w:val="95"/>
                            <w:sz w:val="21"/>
                          </w:rPr>
                          <w:t>每年</w:t>
                        </w:r>
                      </w:p>
                      <w:p>
                        <w:pPr>
                          <w:pStyle w:val="TableParagraph"/>
                          <w:spacing w:before="43"/>
                          <w:ind w:left="232"/>
                          <w:rPr>
                            <w:sz w:val="21"/>
                          </w:rPr>
                        </w:pPr>
                        <w:r>
                          <w:rPr>
                            <w:spacing w:val="-1"/>
                            <w:w w:val="95"/>
                            <w:sz w:val="21"/>
                          </w:rPr>
                          <w:t>一次</w:t>
                        </w:r>
                      </w:p>
                    </w:tc>
                    <w:tc>
                      <w:tcPr>
                        <w:tcW w:w="3187" w:type="dxa"/>
                        <w:tcBorders>
                          <w:left w:val="single" w:sz="4" w:space="0" w:color="000000"/>
                          <w:bottom w:val="single" w:sz="6" w:space="0" w:color="000000"/>
                          <w:right w:val="nil"/>
                        </w:tcBorders>
                      </w:tcPr>
                      <w:p>
                        <w:pPr>
                          <w:pStyle w:val="TableParagraph"/>
                          <w:spacing w:before="21"/>
                          <w:ind w:left="111" w:right="90"/>
                          <w:jc w:val="center"/>
                          <w:rPr>
                            <w:sz w:val="21"/>
                          </w:rPr>
                        </w:pPr>
                        <w:r>
                          <w:rPr>
                            <w:sz w:val="21"/>
                          </w:rPr>
                          <w:t>《大气污染物综合排放标准》无</w:t>
                        </w:r>
                      </w:p>
                      <w:p>
                        <w:pPr>
                          <w:pStyle w:val="TableParagraph"/>
                          <w:spacing w:before="43"/>
                          <w:ind w:left="111" w:right="90"/>
                          <w:jc w:val="center"/>
                          <w:rPr>
                            <w:sz w:val="21"/>
                          </w:rPr>
                        </w:pPr>
                        <w:r>
                          <w:rPr>
                            <w:sz w:val="21"/>
                          </w:rPr>
                          <w:t>组织排放监控浓度限值</w:t>
                        </w:r>
                      </w:p>
                    </w:tc>
                  </w:tr>
                  <w:tr>
                    <w:trPr>
                      <w:trHeight w:val="623" w:hRule="atLeast"/>
                    </w:trPr>
                    <w:tc>
                      <w:tcPr>
                        <w:tcW w:w="846" w:type="dxa"/>
                        <w:tcBorders>
                          <w:top w:val="single" w:sz="6" w:space="0" w:color="000000"/>
                          <w:left w:val="nil"/>
                          <w:right w:val="single" w:sz="2" w:space="0" w:color="000000"/>
                        </w:tcBorders>
                      </w:tcPr>
                      <w:p>
                        <w:pPr>
                          <w:pStyle w:val="TableParagraph"/>
                          <w:spacing w:before="177"/>
                          <w:ind w:left="206" w:right="176"/>
                          <w:jc w:val="center"/>
                          <w:rPr>
                            <w:sz w:val="21"/>
                          </w:rPr>
                        </w:pPr>
                        <w:r>
                          <w:rPr>
                            <w:sz w:val="21"/>
                          </w:rPr>
                          <w:t>噪声</w:t>
                        </w:r>
                      </w:p>
                    </w:tc>
                    <w:tc>
                      <w:tcPr>
                        <w:tcW w:w="1095" w:type="dxa"/>
                        <w:tcBorders>
                          <w:top w:val="single" w:sz="6" w:space="0" w:color="000000"/>
                          <w:left w:val="single" w:sz="2" w:space="0" w:color="000000"/>
                          <w:right w:val="single" w:sz="2" w:space="0" w:color="000000"/>
                        </w:tcBorders>
                      </w:tcPr>
                      <w:p>
                        <w:pPr>
                          <w:pStyle w:val="TableParagraph"/>
                          <w:spacing w:before="177"/>
                          <w:ind w:left="127" w:right="82"/>
                          <w:jc w:val="center"/>
                          <w:rPr>
                            <w:sz w:val="21"/>
                          </w:rPr>
                        </w:pPr>
                        <w:r>
                          <w:rPr>
                            <w:sz w:val="21"/>
                          </w:rPr>
                          <w:t>设备噪声</w:t>
                        </w:r>
                      </w:p>
                    </w:tc>
                    <w:tc>
                      <w:tcPr>
                        <w:tcW w:w="1140" w:type="dxa"/>
                        <w:tcBorders>
                          <w:top w:val="single" w:sz="6" w:space="0" w:color="000000"/>
                          <w:left w:val="single" w:sz="2" w:space="0" w:color="000000"/>
                          <w:right w:val="single" w:sz="2" w:space="0" w:color="000000"/>
                        </w:tcBorders>
                      </w:tcPr>
                      <w:p>
                        <w:pPr>
                          <w:pStyle w:val="TableParagraph"/>
                          <w:spacing w:before="177"/>
                          <w:ind w:left="120"/>
                          <w:rPr>
                            <w:sz w:val="21"/>
                          </w:rPr>
                        </w:pPr>
                        <w:r>
                          <w:rPr>
                            <w:sz w:val="21"/>
                          </w:rPr>
                          <w:t>等效</w:t>
                        </w:r>
                        <w:r>
                          <w:rPr>
                            <w:rFonts w:ascii="Times New Roman" w:eastAsia="Times New Roman"/>
                            <w:sz w:val="21"/>
                          </w:rPr>
                          <w:t>A</w:t>
                        </w:r>
                        <w:r>
                          <w:rPr>
                            <w:sz w:val="21"/>
                          </w:rPr>
                          <w:t>声级</w:t>
                        </w:r>
                      </w:p>
                    </w:tc>
                    <w:tc>
                      <w:tcPr>
                        <w:tcW w:w="2175" w:type="dxa"/>
                        <w:tcBorders>
                          <w:top w:val="single" w:sz="6" w:space="0" w:color="000000"/>
                          <w:left w:val="single" w:sz="2" w:space="0" w:color="000000"/>
                          <w:right w:val="single" w:sz="2" w:space="0" w:color="000000"/>
                        </w:tcBorders>
                      </w:tcPr>
                      <w:p>
                        <w:pPr>
                          <w:pStyle w:val="TableParagraph"/>
                          <w:spacing w:before="177"/>
                          <w:ind w:left="38" w:right="61"/>
                          <w:jc w:val="center"/>
                          <w:rPr>
                            <w:sz w:val="21"/>
                          </w:rPr>
                        </w:pPr>
                        <w:r>
                          <w:rPr>
                            <w:spacing w:val="-13"/>
                            <w:sz w:val="21"/>
                          </w:rPr>
                          <w:t>矿区四周 </w:t>
                        </w:r>
                        <w:r>
                          <w:rPr>
                            <w:rFonts w:ascii="Times New Roman" w:eastAsia="Times New Roman"/>
                            <w:sz w:val="21"/>
                          </w:rPr>
                          <w:t>1m </w:t>
                        </w:r>
                        <w:r>
                          <w:rPr>
                            <w:spacing w:val="-32"/>
                            <w:sz w:val="21"/>
                          </w:rPr>
                          <w:t>共 </w:t>
                        </w:r>
                        <w:r>
                          <w:rPr>
                            <w:rFonts w:ascii="Times New Roman" w:eastAsia="Times New Roman"/>
                            <w:sz w:val="21"/>
                          </w:rPr>
                          <w:t>4 </w:t>
                        </w:r>
                        <w:r>
                          <w:rPr>
                            <w:sz w:val="21"/>
                          </w:rPr>
                          <w:t>个点</w:t>
                        </w:r>
                      </w:p>
                    </w:tc>
                    <w:tc>
                      <w:tcPr>
                        <w:tcW w:w="870" w:type="dxa"/>
                        <w:tcBorders>
                          <w:top w:val="single" w:sz="6" w:space="0" w:color="000000"/>
                          <w:left w:val="single" w:sz="2" w:space="0" w:color="000000"/>
                          <w:right w:val="single" w:sz="2" w:space="0" w:color="000000"/>
                        </w:tcBorders>
                      </w:tcPr>
                      <w:p>
                        <w:pPr>
                          <w:pStyle w:val="TableParagraph"/>
                          <w:spacing w:before="21"/>
                          <w:ind w:left="237"/>
                          <w:rPr>
                            <w:sz w:val="21"/>
                          </w:rPr>
                        </w:pPr>
                        <w:r>
                          <w:rPr>
                            <w:spacing w:val="-1"/>
                            <w:w w:val="95"/>
                            <w:sz w:val="21"/>
                          </w:rPr>
                          <w:t>每年</w:t>
                        </w:r>
                      </w:p>
                      <w:p>
                        <w:pPr>
                          <w:pStyle w:val="TableParagraph"/>
                          <w:spacing w:before="43"/>
                          <w:ind w:left="237"/>
                          <w:rPr>
                            <w:sz w:val="21"/>
                          </w:rPr>
                        </w:pPr>
                        <w:r>
                          <w:rPr>
                            <w:spacing w:val="-1"/>
                            <w:w w:val="95"/>
                            <w:sz w:val="21"/>
                          </w:rPr>
                          <w:t>一次</w:t>
                        </w:r>
                      </w:p>
                    </w:tc>
                    <w:tc>
                      <w:tcPr>
                        <w:tcW w:w="3187" w:type="dxa"/>
                        <w:tcBorders>
                          <w:top w:val="single" w:sz="6" w:space="0" w:color="000000"/>
                          <w:left w:val="single" w:sz="2" w:space="0" w:color="000000"/>
                          <w:right w:val="nil"/>
                        </w:tcBorders>
                      </w:tcPr>
                      <w:p>
                        <w:pPr>
                          <w:pStyle w:val="TableParagraph"/>
                          <w:spacing w:before="21"/>
                          <w:ind w:left="62" w:right="141"/>
                          <w:jc w:val="center"/>
                          <w:rPr>
                            <w:sz w:val="21"/>
                          </w:rPr>
                        </w:pPr>
                        <w:r>
                          <w:rPr>
                            <w:sz w:val="21"/>
                          </w:rPr>
                          <w:t>《工业企业厂界环境噪声排放标</w:t>
                        </w:r>
                      </w:p>
                      <w:p>
                        <w:pPr>
                          <w:pStyle w:val="TableParagraph"/>
                          <w:spacing w:before="43"/>
                          <w:ind w:left="62" w:right="141"/>
                          <w:jc w:val="center"/>
                          <w:rPr>
                            <w:sz w:val="21"/>
                          </w:rPr>
                        </w:pPr>
                        <w:r>
                          <w:rPr>
                            <w:sz w:val="21"/>
                          </w:rPr>
                          <w:t>准》</w:t>
                        </w:r>
                        <w:r>
                          <w:rPr>
                            <w:rFonts w:ascii="Times New Roman" w:eastAsia="Times New Roman"/>
                            <w:sz w:val="21"/>
                          </w:rPr>
                          <w:t>2 </w:t>
                        </w:r>
                        <w:r>
                          <w:rPr>
                            <w:sz w:val="21"/>
                          </w:rPr>
                          <w:t>类标准</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BodyText"/>
        <w:spacing w:before="6"/>
        <w:rPr>
          <w:sz w:val="29"/>
        </w:rPr>
      </w:pPr>
    </w:p>
    <w:p>
      <w:pPr>
        <w:spacing w:before="1"/>
        <w:ind w:left="0" w:right="0" w:firstLine="0"/>
        <w:jc w:val="right"/>
        <w:rPr>
          <w:sz w:val="21"/>
        </w:rPr>
      </w:pPr>
      <w:r>
        <w:rPr>
          <w:w w:val="95"/>
          <w:sz w:val="21"/>
        </w:rPr>
        <w:t>绿化工程</w:t>
      </w:r>
    </w:p>
    <w:p>
      <w:pPr>
        <w:spacing w:line="266" w:lineRule="auto" w:before="78"/>
        <w:ind w:left="785" w:right="0" w:firstLine="0"/>
        <w:jc w:val="center"/>
        <w:rPr>
          <w:sz w:val="21"/>
        </w:rPr>
      </w:pPr>
      <w:r>
        <w:rPr/>
        <w:br w:type="column"/>
      </w:r>
      <w:r>
        <w:rPr>
          <w:w w:val="95"/>
          <w:sz w:val="21"/>
        </w:rPr>
        <w:t>矿区绿化复垦，在道路两旁及</w:t>
      </w:r>
      <w:r>
        <w:rPr>
          <w:sz w:val="21"/>
        </w:rPr>
        <w:t>工作区种植乔木和其它绿化带等</w:t>
      </w:r>
    </w:p>
    <w:p>
      <w:pPr>
        <w:pStyle w:val="BodyText"/>
        <w:spacing w:before="7"/>
        <w:rPr>
          <w:sz w:val="30"/>
        </w:rPr>
      </w:pPr>
      <w:r>
        <w:rPr/>
        <w:br w:type="column"/>
      </w:r>
      <w:r>
        <w:rPr>
          <w:sz w:val="30"/>
        </w:rPr>
      </w:r>
    </w:p>
    <w:p>
      <w:pPr>
        <w:spacing w:before="1"/>
        <w:ind w:left="540" w:right="0" w:firstLine="0"/>
        <w:jc w:val="left"/>
        <w:rPr>
          <w:rFonts w:ascii="Times New Roman"/>
          <w:sz w:val="21"/>
        </w:rPr>
      </w:pPr>
      <w:r>
        <w:rPr>
          <w:rFonts w:ascii="Times New Roman"/>
          <w:sz w:val="21"/>
        </w:rPr>
        <w:t>45.0</w:t>
      </w:r>
    </w:p>
    <w:p>
      <w:pPr>
        <w:spacing w:after="0"/>
        <w:jc w:val="left"/>
        <w:rPr>
          <w:rFonts w:ascii="Times New Roman"/>
          <w:sz w:val="21"/>
        </w:rPr>
        <w:sectPr>
          <w:pgSz w:w="11910" w:h="16840"/>
          <w:pgMar w:header="0" w:footer="770" w:top="1220" w:bottom="960" w:left="1020" w:right="880"/>
          <w:cols w:num="3" w:equalWidth="0">
            <w:col w:w="4270" w:space="40"/>
            <w:col w:w="3474" w:space="39"/>
            <w:col w:w="2187"/>
          </w:cols>
        </w:sectPr>
      </w:pPr>
    </w:p>
    <w:p>
      <w:pPr>
        <w:spacing w:before="163"/>
        <w:ind w:left="1029" w:right="0" w:firstLine="0"/>
        <w:jc w:val="left"/>
        <w:rPr>
          <w:sz w:val="21"/>
        </w:rPr>
      </w:pPr>
      <w:r>
        <w:rPr>
          <w:sz w:val="21"/>
        </w:rPr>
        <w:t>环境管理与监测</w:t>
      </w:r>
    </w:p>
    <w:p>
      <w:pPr>
        <w:spacing w:line="266" w:lineRule="auto" w:before="14"/>
        <w:ind w:left="2033" w:right="0" w:hanging="1745"/>
        <w:jc w:val="left"/>
        <w:rPr>
          <w:sz w:val="21"/>
        </w:rPr>
      </w:pPr>
      <w:r>
        <w:rPr/>
        <w:br w:type="column"/>
      </w:r>
      <w:r>
        <w:rPr>
          <w:spacing w:val="-7"/>
          <w:w w:val="95"/>
          <w:sz w:val="21"/>
        </w:rPr>
        <w:t>制定监测计划，定期开展监测，建立环保规章制度，张 </w:t>
      </w:r>
      <w:r>
        <w:rPr>
          <w:spacing w:val="-7"/>
          <w:sz w:val="21"/>
        </w:rPr>
        <w:t>挂环保标识标牌</w:t>
      </w:r>
    </w:p>
    <w:p>
      <w:pPr>
        <w:spacing w:before="12"/>
        <w:ind w:left="1601" w:right="0" w:firstLine="0"/>
        <w:jc w:val="left"/>
        <w:rPr>
          <w:sz w:val="21"/>
        </w:rPr>
      </w:pPr>
      <w:r>
        <w:rPr>
          <w:sz w:val="21"/>
        </w:rPr>
        <w:t>总计</w:t>
      </w:r>
    </w:p>
    <w:p>
      <w:pPr>
        <w:spacing w:before="176"/>
        <w:ind w:left="590" w:right="0" w:firstLine="0"/>
        <w:jc w:val="left"/>
        <w:rPr>
          <w:rFonts w:ascii="Times New Roman"/>
          <w:sz w:val="21"/>
        </w:rPr>
      </w:pPr>
      <w:r>
        <w:rPr/>
        <w:br w:type="column"/>
      </w:r>
      <w:r>
        <w:rPr>
          <w:rFonts w:ascii="Times New Roman"/>
          <w:sz w:val="21"/>
        </w:rPr>
        <w:t>5.0</w:t>
      </w:r>
    </w:p>
    <w:p>
      <w:pPr>
        <w:pStyle w:val="BodyText"/>
        <w:spacing w:before="1"/>
        <w:rPr>
          <w:rFonts w:ascii="Times New Roman"/>
          <w:sz w:val="19"/>
        </w:rPr>
      </w:pPr>
    </w:p>
    <w:p>
      <w:pPr>
        <w:spacing w:before="0"/>
        <w:ind w:left="540" w:right="0" w:firstLine="0"/>
        <w:jc w:val="left"/>
        <w:rPr>
          <w:rFonts w:ascii="Times New Roman"/>
          <w:sz w:val="21"/>
        </w:rPr>
      </w:pPr>
      <w:r>
        <w:rPr>
          <w:rFonts w:ascii="Times New Roman"/>
          <w:sz w:val="21"/>
        </w:rPr>
        <w:t>77.2</w:t>
      </w:r>
    </w:p>
    <w:p>
      <w:pPr>
        <w:spacing w:after="0"/>
        <w:jc w:val="left"/>
        <w:rPr>
          <w:rFonts w:ascii="Times New Roman"/>
          <w:sz w:val="21"/>
        </w:rPr>
        <w:sectPr>
          <w:type w:val="continuous"/>
          <w:pgSz w:w="11910" w:h="16840"/>
          <w:pgMar w:top="1580" w:bottom="280" w:left="1020" w:right="880"/>
          <w:cols w:num="3" w:equalWidth="0">
            <w:col w:w="2499" w:space="40"/>
            <w:col w:w="5245" w:space="39"/>
            <w:col w:w="2187"/>
          </w:cols>
        </w:sectPr>
      </w:pPr>
    </w:p>
    <w:p>
      <w:pPr>
        <w:pStyle w:val="BodyText"/>
        <w:rPr>
          <w:rFonts w:ascii="Times New Roman"/>
          <w:sz w:val="20"/>
        </w:rPr>
      </w:pPr>
      <w:r>
        <w:rPr/>
        <w:pict>
          <v:group style="position:absolute;margin-left:62.110001pt;margin-top:62.350014pt;width:478.25pt;height:527.550pt;mso-position-horizontal-relative:page;mso-position-vertical-relative:page;z-index:-256962560" coordorigin="1242,1247" coordsize="9565,10551">
            <v:line style="position:absolute" from="1828,1271" to="10220,1271" stroked="true" strokeweight="1.44pt" strokecolor="#000000">
              <v:stroke dashstyle="solid"/>
            </v:line>
            <v:shape style="position:absolute;left:1828;top:14037;width:8392;height:1516" coordorigin="1828,14037" coordsize="8392,1516" path="m1828,2192l10220,2192m1828,2802l10220,2802m3740,1286l3740,2797m6007,1286l6007,2187e" filled="false" stroked="true" strokeweight=".48pt" strokecolor="#000000">
              <v:path arrowok="t"/>
              <v:stroke dashstyle="solid"/>
            </v:shape>
            <v:line style="position:absolute" from="1828,3121" to="10220,3121" stroked="true" strokeweight="1.44pt" strokecolor="#000000">
              <v:stroke dashstyle="solid"/>
            </v:line>
            <v:line style="position:absolute" from="8913,1286" to="8913,3107" stroked="true" strokeweight=".48pt" strokecolor="#000000">
              <v:stroke dashstyle="solid"/>
            </v:line>
            <v:shape style="position:absolute;left:1242;top:5046;width:9565;height:10546" coordorigin="1242,5046" coordsize="9565,10546" path="m1242,1252l10807,1252m1242,11793l10807,11793m1247,1247l1247,11788m10802,1247l10802,11788e" filled="false" stroked="true" strokeweight=".48pt" strokecolor="#000000">
              <v:path arrowok="t"/>
              <v:stroke dashstyle="solid"/>
            </v:shape>
            <w10:wrap type="none"/>
          </v:group>
        </w:pict>
      </w:r>
    </w:p>
    <w:p>
      <w:pPr>
        <w:pStyle w:val="BodyText"/>
        <w:rPr>
          <w:rFonts w:ascii="Times New Roman"/>
          <w:sz w:val="20"/>
        </w:rPr>
      </w:pPr>
    </w:p>
    <w:p>
      <w:pPr>
        <w:pStyle w:val="Heading2"/>
        <w:tabs>
          <w:tab w:pos="852" w:val="left" w:leader="none"/>
        </w:tabs>
        <w:spacing w:before="196" w:after="28"/>
        <w:ind w:left="12"/>
        <w:jc w:val="center"/>
      </w:pPr>
      <w:r>
        <w:rPr/>
        <w:t>表</w:t>
      </w:r>
      <w:r>
        <w:rPr>
          <w:spacing w:val="-62"/>
        </w:rPr>
        <w:t> </w:t>
      </w:r>
      <w:r>
        <w:rPr>
          <w:rFonts w:ascii="Times New Roman" w:eastAsia="Times New Roman"/>
        </w:rPr>
        <w:t>7.8</w:t>
        <w:tab/>
      </w:r>
      <w:r>
        <w:rPr/>
        <w:t>建设项目竣工环境保护验收清单</w:t>
      </w:r>
    </w:p>
    <w:tbl>
      <w:tblPr>
        <w:tblW w:w="0" w:type="auto"/>
        <w:jc w:val="left"/>
        <w:tblInd w:w="3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2"/>
        <w:gridCol w:w="574"/>
        <w:gridCol w:w="1166"/>
        <w:gridCol w:w="3180"/>
        <w:gridCol w:w="2040"/>
        <w:gridCol w:w="1531"/>
      </w:tblGrid>
      <w:tr>
        <w:trPr>
          <w:trHeight w:val="579" w:hRule="atLeast"/>
        </w:trPr>
        <w:tc>
          <w:tcPr>
            <w:tcW w:w="722" w:type="dxa"/>
            <w:tcBorders>
              <w:left w:val="nil"/>
              <w:right w:val="single" w:sz="4" w:space="0" w:color="000000"/>
            </w:tcBorders>
          </w:tcPr>
          <w:p>
            <w:pPr>
              <w:pStyle w:val="TableParagraph"/>
              <w:spacing w:before="164"/>
              <w:ind w:left="154" w:right="100"/>
              <w:jc w:val="center"/>
              <w:rPr>
                <w:b/>
                <w:sz w:val="21"/>
              </w:rPr>
            </w:pPr>
            <w:r>
              <w:rPr>
                <w:b/>
                <w:sz w:val="21"/>
              </w:rPr>
              <w:t>序号</w:t>
            </w:r>
          </w:p>
        </w:tc>
        <w:tc>
          <w:tcPr>
            <w:tcW w:w="1740" w:type="dxa"/>
            <w:gridSpan w:val="2"/>
            <w:tcBorders>
              <w:left w:val="single" w:sz="4" w:space="0" w:color="000000"/>
              <w:right w:val="single" w:sz="4" w:space="0" w:color="000000"/>
            </w:tcBorders>
          </w:tcPr>
          <w:p>
            <w:pPr>
              <w:pStyle w:val="TableParagraph"/>
              <w:spacing w:before="164"/>
              <w:ind w:left="459"/>
              <w:rPr>
                <w:b/>
                <w:sz w:val="21"/>
              </w:rPr>
            </w:pPr>
            <w:r>
              <w:rPr>
                <w:b/>
                <w:sz w:val="21"/>
              </w:rPr>
              <w:t>治理项目</w:t>
            </w:r>
          </w:p>
        </w:tc>
        <w:tc>
          <w:tcPr>
            <w:tcW w:w="3180" w:type="dxa"/>
            <w:tcBorders>
              <w:left w:val="single" w:sz="4" w:space="0" w:color="000000"/>
              <w:right w:val="single" w:sz="4" w:space="0" w:color="000000"/>
            </w:tcBorders>
          </w:tcPr>
          <w:p>
            <w:pPr>
              <w:pStyle w:val="TableParagraph"/>
              <w:spacing w:before="164"/>
              <w:ind w:left="864"/>
              <w:rPr>
                <w:b/>
                <w:sz w:val="21"/>
              </w:rPr>
            </w:pPr>
            <w:r>
              <w:rPr>
                <w:b/>
                <w:sz w:val="21"/>
              </w:rPr>
              <w:t>环保设施及数量</w:t>
            </w:r>
          </w:p>
        </w:tc>
        <w:tc>
          <w:tcPr>
            <w:tcW w:w="2040" w:type="dxa"/>
            <w:tcBorders>
              <w:left w:val="single" w:sz="4" w:space="0" w:color="000000"/>
              <w:right w:val="single" w:sz="2" w:space="0" w:color="000000"/>
            </w:tcBorders>
          </w:tcPr>
          <w:p>
            <w:pPr>
              <w:pStyle w:val="TableParagraph"/>
              <w:spacing w:before="164"/>
              <w:ind w:left="610"/>
              <w:rPr>
                <w:b/>
                <w:sz w:val="21"/>
              </w:rPr>
            </w:pPr>
            <w:r>
              <w:rPr>
                <w:b/>
                <w:sz w:val="21"/>
              </w:rPr>
              <w:t>验收标准</w:t>
            </w:r>
          </w:p>
        </w:tc>
        <w:tc>
          <w:tcPr>
            <w:tcW w:w="1531" w:type="dxa"/>
            <w:tcBorders>
              <w:left w:val="single" w:sz="2" w:space="0" w:color="000000"/>
              <w:right w:val="nil"/>
            </w:tcBorders>
          </w:tcPr>
          <w:p>
            <w:pPr>
              <w:pStyle w:val="TableParagraph"/>
              <w:rPr>
                <w:rFonts w:ascii="Times New Roman"/>
                <w:sz w:val="20"/>
              </w:rPr>
            </w:pPr>
          </w:p>
        </w:tc>
      </w:tr>
      <w:tr>
        <w:trPr>
          <w:trHeight w:val="542" w:hRule="atLeast"/>
        </w:trPr>
        <w:tc>
          <w:tcPr>
            <w:tcW w:w="722" w:type="dxa"/>
            <w:vMerge w:val="restart"/>
            <w:tcBorders>
              <w:left w:val="nil"/>
              <w:bottom w:val="single" w:sz="4" w:space="0" w:color="000000"/>
              <w:right w:val="single" w:sz="4" w:space="0" w:color="000000"/>
            </w:tcBorders>
          </w:tcPr>
          <w:p>
            <w:pPr>
              <w:pStyle w:val="TableParagraph"/>
              <w:rPr>
                <w:b/>
                <w:sz w:val="22"/>
              </w:rPr>
            </w:pPr>
          </w:p>
          <w:p>
            <w:pPr>
              <w:pStyle w:val="TableParagraph"/>
              <w:spacing w:before="12"/>
              <w:rPr>
                <w:b/>
                <w:sz w:val="15"/>
              </w:rPr>
            </w:pPr>
          </w:p>
          <w:p>
            <w:pPr>
              <w:pStyle w:val="TableParagraph"/>
              <w:ind w:left="31"/>
              <w:jc w:val="center"/>
              <w:rPr>
                <w:rFonts w:ascii="Times New Roman"/>
                <w:sz w:val="21"/>
              </w:rPr>
            </w:pPr>
            <w:r>
              <w:rPr>
                <w:rFonts w:ascii="Times New Roman"/>
                <w:w w:val="99"/>
                <w:sz w:val="21"/>
              </w:rPr>
              <w:t>1</w:t>
            </w:r>
          </w:p>
        </w:tc>
        <w:tc>
          <w:tcPr>
            <w:tcW w:w="574" w:type="dxa"/>
            <w:vMerge w:val="restart"/>
            <w:tcBorders>
              <w:left w:val="single" w:sz="4" w:space="0" w:color="000000"/>
              <w:bottom w:val="single" w:sz="4" w:space="0" w:color="000000"/>
              <w:right w:val="single" w:sz="4" w:space="0" w:color="000000"/>
            </w:tcBorders>
          </w:tcPr>
          <w:p>
            <w:pPr>
              <w:pStyle w:val="TableParagraph"/>
              <w:rPr>
                <w:b/>
                <w:sz w:val="26"/>
              </w:rPr>
            </w:pPr>
          </w:p>
          <w:p>
            <w:pPr>
              <w:pStyle w:val="TableParagraph"/>
              <w:spacing w:line="249" w:lineRule="auto"/>
              <w:ind w:left="190" w:right="162"/>
              <w:rPr>
                <w:sz w:val="21"/>
              </w:rPr>
            </w:pPr>
            <w:r>
              <w:rPr>
                <w:sz w:val="21"/>
              </w:rPr>
              <w:t>固废</w:t>
            </w:r>
          </w:p>
        </w:tc>
        <w:tc>
          <w:tcPr>
            <w:tcW w:w="1166" w:type="dxa"/>
            <w:tcBorders>
              <w:left w:val="single" w:sz="4" w:space="0" w:color="000000"/>
              <w:bottom w:val="single" w:sz="4" w:space="0" w:color="000000"/>
              <w:right w:val="single" w:sz="4" w:space="0" w:color="000000"/>
            </w:tcBorders>
          </w:tcPr>
          <w:p>
            <w:pPr>
              <w:pStyle w:val="TableParagraph"/>
              <w:spacing w:before="146"/>
              <w:ind w:left="173"/>
              <w:rPr>
                <w:sz w:val="21"/>
              </w:rPr>
            </w:pPr>
            <w:r>
              <w:rPr>
                <w:sz w:val="21"/>
              </w:rPr>
              <w:t>矿山表土</w:t>
            </w:r>
          </w:p>
        </w:tc>
        <w:tc>
          <w:tcPr>
            <w:tcW w:w="3180" w:type="dxa"/>
            <w:tcBorders>
              <w:left w:val="single" w:sz="4" w:space="0" w:color="000000"/>
              <w:bottom w:val="single" w:sz="4" w:space="0" w:color="000000"/>
              <w:right w:val="single" w:sz="4" w:space="0" w:color="000000"/>
            </w:tcBorders>
          </w:tcPr>
          <w:p>
            <w:pPr>
              <w:pStyle w:val="TableParagraph"/>
              <w:spacing w:before="146"/>
              <w:ind w:left="130"/>
              <w:rPr>
                <w:sz w:val="21"/>
              </w:rPr>
            </w:pPr>
            <w:r>
              <w:rPr>
                <w:sz w:val="21"/>
              </w:rPr>
              <w:t>设表土堆场 </w:t>
            </w:r>
            <w:r>
              <w:rPr>
                <w:rFonts w:ascii="Times New Roman" w:eastAsia="Times New Roman"/>
                <w:sz w:val="21"/>
              </w:rPr>
              <w:t>1 </w:t>
            </w:r>
            <w:r>
              <w:rPr>
                <w:sz w:val="21"/>
              </w:rPr>
              <w:t>座，用于矿区覆土</w:t>
            </w:r>
          </w:p>
        </w:tc>
        <w:tc>
          <w:tcPr>
            <w:tcW w:w="2040" w:type="dxa"/>
            <w:vMerge w:val="restart"/>
            <w:tcBorders>
              <w:left w:val="single" w:sz="4" w:space="0" w:color="000000"/>
              <w:bottom w:val="single" w:sz="4" w:space="0" w:color="000000"/>
              <w:right w:val="single" w:sz="2" w:space="0" w:color="000000"/>
            </w:tcBorders>
          </w:tcPr>
          <w:p>
            <w:pPr>
              <w:pStyle w:val="TableParagraph"/>
              <w:spacing w:before="1"/>
              <w:rPr>
                <w:b/>
                <w:sz w:val="15"/>
              </w:rPr>
            </w:pPr>
          </w:p>
          <w:p>
            <w:pPr>
              <w:pStyle w:val="TableParagraph"/>
              <w:spacing w:line="249" w:lineRule="auto" w:before="1"/>
              <w:ind w:left="118" w:right="90" w:hanging="1"/>
              <w:jc w:val="center"/>
              <w:rPr>
                <w:sz w:val="21"/>
              </w:rPr>
            </w:pPr>
            <w:r>
              <w:rPr>
                <w:sz w:val="21"/>
              </w:rPr>
              <w:t>《一般工业固体废</w:t>
            </w:r>
            <w:r>
              <w:rPr>
                <w:spacing w:val="-11"/>
                <w:sz w:val="21"/>
              </w:rPr>
              <w:t>物贮存、处置污染控</w:t>
            </w:r>
            <w:r>
              <w:rPr>
                <w:sz w:val="21"/>
              </w:rPr>
              <w:t>制标准》</w:t>
            </w:r>
          </w:p>
        </w:tc>
        <w:tc>
          <w:tcPr>
            <w:tcW w:w="1531" w:type="dxa"/>
            <w:vMerge w:val="restart"/>
            <w:tcBorders>
              <w:left w:val="single" w:sz="2" w:space="0" w:color="000000"/>
              <w:bottom w:val="single" w:sz="4" w:space="0" w:color="000000"/>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28"/>
              </w:rPr>
            </w:pPr>
          </w:p>
          <w:p>
            <w:pPr>
              <w:pStyle w:val="TableParagraph"/>
              <w:spacing w:line="247" w:lineRule="auto"/>
              <w:ind w:left="355" w:right="121" w:hanging="209"/>
              <w:rPr>
                <w:sz w:val="21"/>
              </w:rPr>
            </w:pPr>
            <w:r>
              <w:rPr>
                <w:sz w:val="21"/>
              </w:rPr>
              <w:t>加工前应全部设置到位</w:t>
            </w:r>
          </w:p>
        </w:tc>
      </w:tr>
      <w:tr>
        <w:trPr>
          <w:trHeight w:val="647" w:hRule="atLeast"/>
        </w:trPr>
        <w:tc>
          <w:tcPr>
            <w:tcW w:w="722" w:type="dxa"/>
            <w:vMerge/>
            <w:tcBorders>
              <w:top w:val="nil"/>
              <w:left w:val="nil"/>
              <w:bottom w:val="single" w:sz="4" w:space="0" w:color="000000"/>
              <w:right w:val="single" w:sz="4" w:space="0" w:color="000000"/>
            </w:tcBorders>
          </w:tcPr>
          <w:p>
            <w:pPr>
              <w:rPr>
                <w:sz w:val="2"/>
                <w:szCs w:val="2"/>
              </w:rPr>
            </w:pPr>
          </w:p>
        </w:tc>
        <w:tc>
          <w:tcPr>
            <w:tcW w:w="574" w:type="dxa"/>
            <w:vMerge/>
            <w:tcBorders>
              <w:top w:val="nil"/>
              <w:left w:val="single" w:sz="4" w:space="0" w:color="000000"/>
              <w:bottom w:val="single" w:sz="4" w:space="0" w:color="000000"/>
              <w:right w:val="single" w:sz="4" w:space="0" w:color="000000"/>
            </w:tcBorders>
          </w:tcPr>
          <w:p>
            <w:pPr>
              <w:rPr>
                <w:sz w:val="2"/>
                <w:szCs w:val="2"/>
              </w:rPr>
            </w:pP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5"/>
              </w:rPr>
            </w:pPr>
          </w:p>
          <w:p>
            <w:pPr>
              <w:pStyle w:val="TableParagraph"/>
              <w:spacing w:before="1"/>
              <w:ind w:left="173"/>
              <w:rPr>
                <w:sz w:val="21"/>
              </w:rPr>
            </w:pPr>
            <w:r>
              <w:rPr>
                <w:sz w:val="21"/>
              </w:rPr>
              <w:t>生活垃圾</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5"/>
              </w:rPr>
            </w:pPr>
          </w:p>
          <w:p>
            <w:pPr>
              <w:pStyle w:val="TableParagraph"/>
              <w:spacing w:before="1"/>
              <w:ind w:left="864"/>
              <w:rPr>
                <w:sz w:val="21"/>
              </w:rPr>
            </w:pPr>
            <w:r>
              <w:rPr>
                <w:sz w:val="21"/>
              </w:rPr>
              <w:t>垃圾收集桶若干</w:t>
            </w:r>
          </w:p>
        </w:tc>
        <w:tc>
          <w:tcPr>
            <w:tcW w:w="2040" w:type="dxa"/>
            <w:vMerge/>
            <w:tcBorders>
              <w:top w:val="nil"/>
              <w:left w:val="single" w:sz="4" w:space="0" w:color="000000"/>
              <w:bottom w:val="single" w:sz="4" w:space="0" w:color="000000"/>
              <w:right w:val="single" w:sz="2" w:space="0" w:color="000000"/>
            </w:tcBorders>
          </w:tcPr>
          <w:p>
            <w:pPr>
              <w:rPr>
                <w:sz w:val="2"/>
                <w:szCs w:val="2"/>
              </w:rPr>
            </w:pPr>
          </w:p>
        </w:tc>
        <w:tc>
          <w:tcPr>
            <w:tcW w:w="1531" w:type="dxa"/>
            <w:vMerge/>
            <w:tcBorders>
              <w:top w:val="nil"/>
              <w:left w:val="single" w:sz="2" w:space="0" w:color="000000"/>
              <w:bottom w:val="single" w:sz="4" w:space="0" w:color="000000"/>
              <w:right w:val="nil"/>
            </w:tcBorders>
          </w:tcPr>
          <w:p>
            <w:pPr>
              <w:rPr>
                <w:sz w:val="2"/>
                <w:szCs w:val="2"/>
              </w:rPr>
            </w:pPr>
          </w:p>
        </w:tc>
      </w:tr>
      <w:tr>
        <w:trPr>
          <w:trHeight w:val="560" w:hRule="atLeast"/>
        </w:trPr>
        <w:tc>
          <w:tcPr>
            <w:tcW w:w="722" w:type="dxa"/>
            <w:tcBorders>
              <w:top w:val="single" w:sz="4" w:space="0" w:color="000000"/>
              <w:left w:val="nil"/>
              <w:bottom w:val="single" w:sz="4" w:space="0" w:color="000000"/>
              <w:right w:val="single" w:sz="4" w:space="0" w:color="000000"/>
            </w:tcBorders>
          </w:tcPr>
          <w:p>
            <w:pPr>
              <w:pStyle w:val="TableParagraph"/>
              <w:spacing w:before="167"/>
              <w:ind w:left="31"/>
              <w:jc w:val="center"/>
              <w:rPr>
                <w:rFonts w:ascii="Times New Roman"/>
                <w:sz w:val="21"/>
              </w:rPr>
            </w:pPr>
            <w:r>
              <w:rPr>
                <w:rFonts w:ascii="Times New Roman"/>
                <w:w w:val="99"/>
                <w:sz w:val="21"/>
              </w:rPr>
              <w:t>2</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3"/>
              <w:ind w:left="190" w:right="162"/>
              <w:rPr>
                <w:sz w:val="21"/>
              </w:rPr>
            </w:pPr>
            <w:r>
              <w:rPr>
                <w:sz w:val="21"/>
              </w:rPr>
              <w:t>废水</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3"/>
              <w:ind w:left="173"/>
              <w:rPr>
                <w:sz w:val="21"/>
              </w:rPr>
            </w:pPr>
            <w:r>
              <w:rPr>
                <w:sz w:val="21"/>
              </w:rPr>
              <w:t>生活污水</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53"/>
              <w:ind w:left="1167"/>
              <w:rPr>
                <w:sz w:val="21"/>
              </w:rPr>
            </w:pPr>
            <w:r>
              <w:rPr>
                <w:sz w:val="21"/>
              </w:rPr>
              <w:t>化粪池 </w:t>
            </w:r>
            <w:r>
              <w:rPr>
                <w:rFonts w:ascii="Times New Roman" w:eastAsia="Times New Roman"/>
                <w:sz w:val="21"/>
              </w:rPr>
              <w:t>1 </w:t>
            </w:r>
            <w:r>
              <w:rPr>
                <w:sz w:val="21"/>
              </w:rPr>
              <w:t>座</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spacing w:line="280" w:lineRule="atLeast" w:before="3"/>
              <w:ind w:left="399" w:right="162" w:hanging="209"/>
              <w:rPr>
                <w:sz w:val="21"/>
              </w:rPr>
            </w:pPr>
            <w:r>
              <w:rPr>
                <w:sz w:val="21"/>
              </w:rPr>
              <w:t>处理后用于农林地施肥，零排放</w:t>
            </w:r>
          </w:p>
        </w:tc>
        <w:tc>
          <w:tcPr>
            <w:tcW w:w="1531" w:type="dxa"/>
            <w:vMerge/>
            <w:tcBorders>
              <w:top w:val="nil"/>
              <w:left w:val="single" w:sz="2" w:space="0" w:color="000000"/>
              <w:bottom w:val="single" w:sz="4" w:space="0" w:color="000000"/>
              <w:right w:val="nil"/>
            </w:tcBorders>
          </w:tcPr>
          <w:p>
            <w:pPr>
              <w:rPr>
                <w:sz w:val="2"/>
                <w:szCs w:val="2"/>
              </w:rPr>
            </w:pPr>
          </w:p>
        </w:tc>
      </w:tr>
      <w:tr>
        <w:trPr>
          <w:trHeight w:val="608" w:hRule="atLeast"/>
        </w:trPr>
        <w:tc>
          <w:tcPr>
            <w:tcW w:w="722" w:type="dxa"/>
            <w:vMerge w:val="restart"/>
            <w:tcBorders>
              <w:top w:val="single" w:sz="4" w:space="0" w:color="000000"/>
              <w:left w:val="nil"/>
              <w:bottom w:val="single" w:sz="4" w:space="0" w:color="000000"/>
              <w:right w:val="single" w:sz="4" w:space="0" w:color="000000"/>
            </w:tcBorders>
          </w:tcPr>
          <w:p>
            <w:pPr>
              <w:pStyle w:val="TableParagraph"/>
              <w:rPr>
                <w:b/>
                <w:sz w:val="29"/>
              </w:rPr>
            </w:pPr>
          </w:p>
          <w:p>
            <w:pPr>
              <w:pStyle w:val="TableParagraph"/>
              <w:ind w:left="31"/>
              <w:jc w:val="center"/>
              <w:rPr>
                <w:rFonts w:ascii="Times New Roman"/>
                <w:sz w:val="21"/>
              </w:rPr>
            </w:pPr>
            <w:r>
              <w:rPr>
                <w:rFonts w:ascii="Times New Roman"/>
                <w:w w:val="99"/>
                <w:sz w:val="21"/>
              </w:rPr>
              <w:t>3</w:t>
            </w:r>
          </w:p>
        </w:tc>
        <w:tc>
          <w:tcPr>
            <w:tcW w:w="57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
              <w:rPr>
                <w:b/>
                <w:sz w:val="16"/>
              </w:rPr>
            </w:pPr>
          </w:p>
          <w:p>
            <w:pPr>
              <w:pStyle w:val="TableParagraph"/>
              <w:spacing w:line="249" w:lineRule="auto"/>
              <w:ind w:left="190" w:right="162"/>
              <w:rPr>
                <w:sz w:val="21"/>
              </w:rPr>
            </w:pPr>
            <w:r>
              <w:rPr>
                <w:sz w:val="21"/>
              </w:rPr>
              <w:t>废气</w:t>
            </w:r>
          </w:p>
        </w:tc>
        <w:tc>
          <w:tcPr>
            <w:tcW w:w="1166" w:type="dxa"/>
            <w:tcBorders>
              <w:top w:val="single" w:sz="4" w:space="0" w:color="000000"/>
              <w:left w:val="single" w:sz="4" w:space="0" w:color="000000"/>
              <w:bottom w:val="single" w:sz="2" w:space="0" w:color="000000"/>
              <w:right w:val="single" w:sz="4" w:space="0" w:color="000000"/>
            </w:tcBorders>
          </w:tcPr>
          <w:p>
            <w:pPr>
              <w:pStyle w:val="TableParagraph"/>
              <w:spacing w:line="280" w:lineRule="atLeast" w:before="25"/>
              <w:ind w:left="173" w:right="-15" w:hanging="56"/>
              <w:rPr>
                <w:sz w:val="21"/>
              </w:rPr>
            </w:pPr>
            <w:r>
              <w:rPr>
                <w:spacing w:val="-3"/>
                <w:sz w:val="21"/>
              </w:rPr>
              <w:t>开采粉尘、</w:t>
            </w:r>
            <w:r>
              <w:rPr>
                <w:sz w:val="21"/>
              </w:rPr>
              <w:t>运输扬尘</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25"/>
              <w:ind w:left="118" w:right="85"/>
              <w:rPr>
                <w:sz w:val="21"/>
              </w:rPr>
            </w:pPr>
            <w:r>
              <w:rPr>
                <w:sz w:val="21"/>
              </w:rPr>
              <w:t>喷雾洒水装置，定期洒水，清扫道路</w:t>
            </w:r>
          </w:p>
        </w:tc>
        <w:tc>
          <w:tcPr>
            <w:tcW w:w="2040" w:type="dxa"/>
            <w:vMerge w:val="restart"/>
            <w:tcBorders>
              <w:top w:val="single" w:sz="4" w:space="0" w:color="000000"/>
              <w:left w:val="single" w:sz="4" w:space="0" w:color="000000"/>
              <w:bottom w:val="single" w:sz="4" w:space="0" w:color="000000"/>
              <w:right w:val="single" w:sz="2" w:space="0" w:color="000000"/>
            </w:tcBorders>
          </w:tcPr>
          <w:p>
            <w:pPr>
              <w:pStyle w:val="TableParagraph"/>
              <w:spacing w:before="11"/>
              <w:rPr>
                <w:b/>
                <w:sz w:val="16"/>
              </w:rPr>
            </w:pPr>
          </w:p>
          <w:p>
            <w:pPr>
              <w:pStyle w:val="TableParagraph"/>
              <w:spacing w:line="249" w:lineRule="auto"/>
              <w:ind w:left="504" w:right="162" w:hanging="315"/>
              <w:rPr>
                <w:sz w:val="21"/>
              </w:rPr>
            </w:pPr>
            <w:r>
              <w:rPr>
                <w:sz w:val="21"/>
              </w:rPr>
              <w:t>《大气污染物综合排放标准》</w:t>
            </w:r>
          </w:p>
        </w:tc>
        <w:tc>
          <w:tcPr>
            <w:tcW w:w="1531" w:type="dxa"/>
            <w:vMerge/>
            <w:tcBorders>
              <w:top w:val="nil"/>
              <w:left w:val="single" w:sz="2" w:space="0" w:color="000000"/>
              <w:bottom w:val="single" w:sz="4" w:space="0" w:color="000000"/>
              <w:right w:val="nil"/>
            </w:tcBorders>
          </w:tcPr>
          <w:p>
            <w:pPr>
              <w:rPr>
                <w:sz w:val="2"/>
                <w:szCs w:val="2"/>
              </w:rPr>
            </w:pPr>
          </w:p>
        </w:tc>
      </w:tr>
      <w:tr>
        <w:trPr>
          <w:trHeight w:val="351" w:hRule="atLeast"/>
        </w:trPr>
        <w:tc>
          <w:tcPr>
            <w:tcW w:w="722" w:type="dxa"/>
            <w:vMerge/>
            <w:tcBorders>
              <w:top w:val="nil"/>
              <w:left w:val="nil"/>
              <w:bottom w:val="single" w:sz="4" w:space="0" w:color="000000"/>
              <w:right w:val="single" w:sz="4" w:space="0" w:color="000000"/>
            </w:tcBorders>
          </w:tcPr>
          <w:p>
            <w:pPr>
              <w:rPr>
                <w:sz w:val="2"/>
                <w:szCs w:val="2"/>
              </w:rPr>
            </w:pPr>
          </w:p>
        </w:tc>
        <w:tc>
          <w:tcPr>
            <w:tcW w:w="574" w:type="dxa"/>
            <w:vMerge/>
            <w:tcBorders>
              <w:top w:val="nil"/>
              <w:left w:val="single" w:sz="4" w:space="0" w:color="000000"/>
              <w:bottom w:val="single" w:sz="4" w:space="0" w:color="000000"/>
              <w:right w:val="single" w:sz="4" w:space="0" w:color="000000"/>
            </w:tcBorders>
          </w:tcPr>
          <w:p>
            <w:pPr>
              <w:rPr>
                <w:sz w:val="2"/>
                <w:szCs w:val="2"/>
              </w:rPr>
            </w:pPr>
          </w:p>
        </w:tc>
        <w:tc>
          <w:tcPr>
            <w:tcW w:w="1166" w:type="dxa"/>
            <w:tcBorders>
              <w:top w:val="single" w:sz="2" w:space="0" w:color="000000"/>
              <w:left w:val="single" w:sz="4" w:space="0" w:color="000000"/>
              <w:bottom w:val="single" w:sz="2" w:space="0" w:color="000000"/>
              <w:right w:val="single" w:sz="4" w:space="0" w:color="000000"/>
            </w:tcBorders>
          </w:tcPr>
          <w:p>
            <w:pPr>
              <w:pStyle w:val="TableParagraph"/>
              <w:spacing w:before="36"/>
              <w:ind w:left="173"/>
              <w:rPr>
                <w:sz w:val="21"/>
              </w:rPr>
            </w:pPr>
            <w:r>
              <w:rPr>
                <w:sz w:val="21"/>
              </w:rPr>
              <w:t>表土堆场</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36"/>
              <w:ind w:left="864"/>
              <w:rPr>
                <w:sz w:val="21"/>
              </w:rPr>
            </w:pPr>
            <w:r>
              <w:rPr>
                <w:sz w:val="21"/>
              </w:rPr>
              <w:t>喷淋设施，压实</w:t>
            </w:r>
          </w:p>
        </w:tc>
        <w:tc>
          <w:tcPr>
            <w:tcW w:w="2040" w:type="dxa"/>
            <w:vMerge/>
            <w:tcBorders>
              <w:top w:val="nil"/>
              <w:left w:val="single" w:sz="4" w:space="0" w:color="000000"/>
              <w:bottom w:val="single" w:sz="4" w:space="0" w:color="000000"/>
              <w:right w:val="single" w:sz="2" w:space="0" w:color="000000"/>
            </w:tcBorders>
          </w:tcPr>
          <w:p>
            <w:pPr>
              <w:rPr>
                <w:sz w:val="2"/>
                <w:szCs w:val="2"/>
              </w:rPr>
            </w:pPr>
          </w:p>
        </w:tc>
        <w:tc>
          <w:tcPr>
            <w:tcW w:w="1531" w:type="dxa"/>
            <w:vMerge/>
            <w:tcBorders>
              <w:top w:val="nil"/>
              <w:left w:val="single" w:sz="2" w:space="0" w:color="000000"/>
              <w:bottom w:val="single" w:sz="4" w:space="0" w:color="000000"/>
              <w:right w:val="nil"/>
            </w:tcBorders>
          </w:tcPr>
          <w:p>
            <w:pPr>
              <w:rPr>
                <w:sz w:val="2"/>
                <w:szCs w:val="2"/>
              </w:rPr>
            </w:pPr>
          </w:p>
        </w:tc>
      </w:tr>
      <w:tr>
        <w:trPr>
          <w:trHeight w:val="560" w:hRule="atLeast"/>
        </w:trPr>
        <w:tc>
          <w:tcPr>
            <w:tcW w:w="722" w:type="dxa"/>
            <w:tcBorders>
              <w:top w:val="single" w:sz="4" w:space="0" w:color="000000"/>
              <w:left w:val="nil"/>
              <w:bottom w:val="single" w:sz="4" w:space="0" w:color="000000"/>
              <w:right w:val="single" w:sz="4" w:space="0" w:color="000000"/>
            </w:tcBorders>
          </w:tcPr>
          <w:p>
            <w:pPr>
              <w:pStyle w:val="TableParagraph"/>
              <w:spacing w:before="167"/>
              <w:ind w:left="31"/>
              <w:jc w:val="center"/>
              <w:rPr>
                <w:rFonts w:ascii="Times New Roman"/>
                <w:sz w:val="21"/>
              </w:rPr>
            </w:pPr>
            <w:r>
              <w:rPr>
                <w:rFonts w:ascii="Times New Roman"/>
                <w:w w:val="99"/>
                <w:sz w:val="21"/>
              </w:rPr>
              <w:t>4</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3"/>
              <w:ind w:left="190" w:right="162"/>
              <w:rPr>
                <w:sz w:val="21"/>
              </w:rPr>
            </w:pPr>
            <w:r>
              <w:rPr>
                <w:sz w:val="21"/>
              </w:rPr>
              <w:t>噪声</w:t>
            </w:r>
          </w:p>
        </w:tc>
        <w:tc>
          <w:tcPr>
            <w:tcW w:w="1166" w:type="dxa"/>
            <w:tcBorders>
              <w:top w:val="single" w:sz="2" w:space="0" w:color="000000"/>
              <w:left w:val="single" w:sz="4" w:space="0" w:color="000000"/>
              <w:bottom w:val="single" w:sz="4" w:space="0" w:color="000000"/>
              <w:right w:val="single" w:sz="4" w:space="0" w:color="000000"/>
            </w:tcBorders>
          </w:tcPr>
          <w:p>
            <w:pPr>
              <w:pStyle w:val="TableParagraph"/>
              <w:spacing w:before="153"/>
              <w:ind w:left="173"/>
              <w:rPr>
                <w:sz w:val="21"/>
              </w:rPr>
            </w:pPr>
            <w:r>
              <w:rPr>
                <w:sz w:val="21"/>
              </w:rPr>
              <w:t>机械设施</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53"/>
              <w:ind w:left="538"/>
              <w:rPr>
                <w:sz w:val="21"/>
              </w:rPr>
            </w:pPr>
            <w:r>
              <w:rPr>
                <w:sz w:val="21"/>
              </w:rPr>
              <w:t>低噪声设备，加强管理</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spacing w:line="280" w:lineRule="atLeast" w:before="3"/>
              <w:ind w:left="240" w:right="109" w:hanging="209"/>
              <w:rPr>
                <w:sz w:val="21"/>
              </w:rPr>
            </w:pPr>
            <w:r>
              <w:rPr>
                <w:sz w:val="21"/>
              </w:rPr>
              <w:t>《工业企业厂界环境噪声排放标准》</w:t>
            </w:r>
          </w:p>
        </w:tc>
        <w:tc>
          <w:tcPr>
            <w:tcW w:w="1531" w:type="dxa"/>
            <w:vMerge/>
            <w:tcBorders>
              <w:top w:val="nil"/>
              <w:left w:val="single" w:sz="2" w:space="0" w:color="000000"/>
              <w:bottom w:val="single" w:sz="4" w:space="0" w:color="000000"/>
              <w:right w:val="nil"/>
            </w:tcBorders>
          </w:tcPr>
          <w:p>
            <w:pPr>
              <w:rPr>
                <w:sz w:val="2"/>
                <w:szCs w:val="2"/>
              </w:rPr>
            </w:pPr>
          </w:p>
        </w:tc>
      </w:tr>
      <w:tr>
        <w:trPr>
          <w:trHeight w:val="1957" w:hRule="atLeast"/>
        </w:trPr>
        <w:tc>
          <w:tcPr>
            <w:tcW w:w="722" w:type="dxa"/>
            <w:tcBorders>
              <w:top w:val="single" w:sz="4" w:space="0" w:color="000000"/>
              <w:left w:val="nil"/>
              <w:bottom w:val="single" w:sz="4" w:space="0" w:color="000000"/>
              <w:right w:val="single" w:sz="4" w:space="0" w:color="000000"/>
            </w:tcBorders>
          </w:tcPr>
          <w:p>
            <w:pPr>
              <w:pStyle w:val="TableParagraph"/>
              <w:rPr>
                <w:b/>
                <w:sz w:val="22"/>
              </w:rPr>
            </w:pPr>
          </w:p>
          <w:p>
            <w:pPr>
              <w:pStyle w:val="TableParagraph"/>
              <w:rPr>
                <w:b/>
                <w:sz w:val="22"/>
              </w:rPr>
            </w:pPr>
          </w:p>
          <w:p>
            <w:pPr>
              <w:pStyle w:val="TableParagraph"/>
              <w:spacing w:before="7"/>
              <w:rPr>
                <w:b/>
                <w:sz w:val="23"/>
              </w:rPr>
            </w:pPr>
          </w:p>
          <w:p>
            <w:pPr>
              <w:pStyle w:val="TableParagraph"/>
              <w:ind w:left="31"/>
              <w:jc w:val="center"/>
              <w:rPr>
                <w:rFonts w:ascii="Times New Roman"/>
                <w:sz w:val="21"/>
              </w:rPr>
            </w:pPr>
            <w:r>
              <w:rPr>
                <w:rFonts w:ascii="Times New Roman"/>
                <w:w w:val="99"/>
                <w:sz w:val="21"/>
              </w:rPr>
              <w:t>5</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5"/>
              <w:rPr>
                <w:b/>
                <w:sz w:val="15"/>
              </w:rPr>
            </w:pPr>
          </w:p>
          <w:p>
            <w:pPr>
              <w:pStyle w:val="TableParagraph"/>
              <w:spacing w:line="249" w:lineRule="auto" w:before="1"/>
              <w:ind w:left="190" w:right="162"/>
              <w:rPr>
                <w:sz w:val="21"/>
              </w:rPr>
            </w:pPr>
            <w:r>
              <w:rPr>
                <w:sz w:val="21"/>
              </w:rPr>
              <w:t>矿区</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6"/>
              <w:rPr>
                <w:b/>
                <w:sz w:val="26"/>
              </w:rPr>
            </w:pPr>
          </w:p>
          <w:p>
            <w:pPr>
              <w:pStyle w:val="TableParagraph"/>
              <w:ind w:left="173"/>
              <w:rPr>
                <w:sz w:val="21"/>
              </w:rPr>
            </w:pPr>
            <w:r>
              <w:rPr>
                <w:sz w:val="21"/>
              </w:rPr>
              <w:t>生态维护</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7"/>
              <w:rPr>
                <w:b/>
                <w:sz w:val="24"/>
              </w:rPr>
            </w:pPr>
          </w:p>
          <w:p>
            <w:pPr>
              <w:pStyle w:val="TableParagraph"/>
              <w:spacing w:line="249" w:lineRule="auto"/>
              <w:ind w:left="118" w:right="89"/>
              <w:jc w:val="both"/>
              <w:rPr>
                <w:sz w:val="21"/>
              </w:rPr>
            </w:pPr>
            <w:r>
              <w:rPr>
                <w:sz w:val="21"/>
              </w:rPr>
              <w:t>对开采区、临时建筑、表土场等扰动土壤、剥离面播撒草种和植树绿化。</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spacing w:before="8"/>
              <w:rPr>
                <w:b/>
                <w:sz w:val="22"/>
              </w:rPr>
            </w:pPr>
          </w:p>
          <w:p>
            <w:pPr>
              <w:pStyle w:val="TableParagraph"/>
              <w:spacing w:line="249" w:lineRule="auto"/>
              <w:ind w:left="118" w:right="90"/>
              <w:jc w:val="both"/>
              <w:rPr>
                <w:sz w:val="21"/>
              </w:rPr>
            </w:pPr>
            <w:r>
              <w:rPr>
                <w:spacing w:val="-11"/>
                <w:sz w:val="21"/>
              </w:rPr>
              <w:t>编制《矿山生态环境</w:t>
            </w:r>
            <w:r>
              <w:rPr>
                <w:spacing w:val="16"/>
                <w:sz w:val="21"/>
              </w:rPr>
              <w:t>保护与恢复治理方</w:t>
            </w:r>
            <w:r>
              <w:rPr>
                <w:spacing w:val="-11"/>
                <w:sz w:val="21"/>
              </w:rPr>
              <w:t>案》，闭矿后所有破</w:t>
            </w:r>
            <w:r>
              <w:rPr>
                <w:spacing w:val="16"/>
                <w:sz w:val="21"/>
              </w:rPr>
              <w:t>坏地表植被全部恢</w:t>
            </w:r>
            <w:r>
              <w:rPr>
                <w:sz w:val="21"/>
              </w:rPr>
              <w:t>复</w:t>
            </w:r>
          </w:p>
        </w:tc>
        <w:tc>
          <w:tcPr>
            <w:tcW w:w="1531" w:type="dxa"/>
            <w:tcBorders>
              <w:top w:val="single" w:sz="4" w:space="0" w:color="000000"/>
              <w:left w:val="single" w:sz="2" w:space="0" w:color="000000"/>
              <w:bottom w:val="single" w:sz="4" w:space="0" w:color="000000"/>
              <w:right w:val="nil"/>
            </w:tcBorders>
          </w:tcPr>
          <w:p>
            <w:pPr>
              <w:pStyle w:val="TableParagraph"/>
              <w:spacing w:line="249" w:lineRule="auto" w:before="12"/>
              <w:ind w:left="120" w:right="92"/>
              <w:jc w:val="both"/>
              <w:rPr>
                <w:sz w:val="21"/>
              </w:rPr>
            </w:pPr>
            <w:r>
              <w:rPr>
                <w:sz w:val="21"/>
              </w:rPr>
              <w:t>分片区分时段实施，开采过程及时对采空区回填，结束后对采矿场、表土场等全部</w:t>
            </w:r>
          </w:p>
          <w:p>
            <w:pPr>
              <w:pStyle w:val="TableParagraph"/>
              <w:spacing w:line="245" w:lineRule="exact" w:before="1"/>
              <w:ind w:left="120"/>
              <w:rPr>
                <w:sz w:val="21"/>
              </w:rPr>
            </w:pPr>
            <w:r>
              <w:rPr>
                <w:sz w:val="21"/>
              </w:rPr>
              <w:t>恢复植被</w:t>
            </w:r>
          </w:p>
        </w:tc>
      </w:tr>
      <w:tr>
        <w:trPr>
          <w:trHeight w:val="1119" w:hRule="atLeast"/>
        </w:trPr>
        <w:tc>
          <w:tcPr>
            <w:tcW w:w="722" w:type="dxa"/>
            <w:tcBorders>
              <w:top w:val="single" w:sz="4" w:space="0" w:color="000000"/>
              <w:left w:val="nil"/>
              <w:right w:val="single" w:sz="4" w:space="0" w:color="000000"/>
            </w:tcBorders>
          </w:tcPr>
          <w:p>
            <w:pPr>
              <w:pStyle w:val="TableParagraph"/>
              <w:rPr>
                <w:b/>
                <w:sz w:val="22"/>
              </w:rPr>
            </w:pPr>
          </w:p>
          <w:p>
            <w:pPr>
              <w:pStyle w:val="TableParagraph"/>
              <w:spacing w:before="165"/>
              <w:ind w:left="31"/>
              <w:jc w:val="center"/>
              <w:rPr>
                <w:rFonts w:ascii="Times New Roman"/>
                <w:sz w:val="21"/>
              </w:rPr>
            </w:pPr>
            <w:r>
              <w:rPr>
                <w:rFonts w:ascii="Times New Roman"/>
                <w:w w:val="99"/>
                <w:sz w:val="21"/>
              </w:rPr>
              <w:t>6</w:t>
            </w:r>
          </w:p>
        </w:tc>
        <w:tc>
          <w:tcPr>
            <w:tcW w:w="1740" w:type="dxa"/>
            <w:gridSpan w:val="2"/>
            <w:tcBorders>
              <w:top w:val="single" w:sz="4" w:space="0" w:color="000000"/>
              <w:left w:val="single" w:sz="4" w:space="0" w:color="000000"/>
              <w:right w:val="single" w:sz="4" w:space="0" w:color="000000"/>
            </w:tcBorders>
          </w:tcPr>
          <w:p>
            <w:pPr>
              <w:pStyle w:val="TableParagraph"/>
              <w:rPr>
                <w:b/>
                <w:sz w:val="20"/>
              </w:rPr>
            </w:pPr>
          </w:p>
          <w:p>
            <w:pPr>
              <w:pStyle w:val="TableParagraph"/>
              <w:spacing w:before="177"/>
              <w:ind w:left="459"/>
              <w:rPr>
                <w:sz w:val="21"/>
              </w:rPr>
            </w:pPr>
            <w:r>
              <w:rPr>
                <w:sz w:val="21"/>
              </w:rPr>
              <w:t>环境管理</w:t>
            </w:r>
          </w:p>
        </w:tc>
        <w:tc>
          <w:tcPr>
            <w:tcW w:w="3180" w:type="dxa"/>
            <w:tcBorders>
              <w:top w:val="single" w:sz="4" w:space="0" w:color="000000"/>
              <w:left w:val="single" w:sz="4" w:space="0" w:color="000000"/>
              <w:right w:val="single" w:sz="4" w:space="0" w:color="000000"/>
            </w:tcBorders>
          </w:tcPr>
          <w:p>
            <w:pPr>
              <w:pStyle w:val="TableParagraph"/>
              <w:spacing w:line="249" w:lineRule="auto" w:before="13"/>
              <w:ind w:left="118" w:right="-29"/>
              <w:jc w:val="both"/>
              <w:rPr>
                <w:sz w:val="21"/>
              </w:rPr>
            </w:pPr>
            <w:r>
              <w:rPr>
                <w:sz w:val="21"/>
              </w:rPr>
              <w:t>①建立环境监测制度，定期开展监测；②建立环境保护措施与设</w:t>
            </w:r>
            <w:r>
              <w:rPr>
                <w:spacing w:val="-11"/>
                <w:sz w:val="21"/>
              </w:rPr>
              <w:t>施、环境管理规章制度、建档等。</w:t>
            </w:r>
          </w:p>
          <w:p>
            <w:pPr>
              <w:pStyle w:val="TableParagraph"/>
              <w:spacing w:line="246" w:lineRule="exact"/>
              <w:ind w:left="118"/>
              <w:jc w:val="both"/>
              <w:rPr>
                <w:sz w:val="21"/>
              </w:rPr>
            </w:pPr>
            <w:r>
              <w:rPr>
                <w:sz w:val="21"/>
              </w:rPr>
              <w:t>③设专职环保管理员 </w:t>
            </w:r>
            <w:r>
              <w:rPr>
                <w:rFonts w:ascii="Times New Roman" w:hAnsi="Times New Roman" w:eastAsia="Times New Roman"/>
                <w:sz w:val="21"/>
              </w:rPr>
              <w:t>1</w:t>
            </w:r>
            <w:r>
              <w:rPr>
                <w:sz w:val="21"/>
              </w:rPr>
              <w:t>～</w:t>
            </w:r>
            <w:r>
              <w:rPr>
                <w:rFonts w:ascii="Times New Roman" w:hAnsi="Times New Roman" w:eastAsia="Times New Roman"/>
                <w:sz w:val="21"/>
              </w:rPr>
              <w:t>2 </w:t>
            </w:r>
            <w:r>
              <w:rPr>
                <w:sz w:val="21"/>
              </w:rPr>
              <w:t>人。</w:t>
            </w:r>
          </w:p>
        </w:tc>
        <w:tc>
          <w:tcPr>
            <w:tcW w:w="2040" w:type="dxa"/>
            <w:tcBorders>
              <w:top w:val="single" w:sz="4" w:space="0" w:color="000000"/>
              <w:left w:val="single" w:sz="4" w:space="0" w:color="000000"/>
              <w:right w:val="single" w:sz="2" w:space="0" w:color="000000"/>
            </w:tcBorders>
          </w:tcPr>
          <w:p>
            <w:pPr>
              <w:pStyle w:val="TableParagraph"/>
              <w:spacing w:before="12"/>
              <w:rPr>
                <w:b/>
                <w:sz w:val="22"/>
              </w:rPr>
            </w:pPr>
          </w:p>
          <w:p>
            <w:pPr>
              <w:pStyle w:val="TableParagraph"/>
              <w:spacing w:line="249" w:lineRule="auto"/>
              <w:ind w:left="118" w:right="90"/>
              <w:rPr>
                <w:sz w:val="21"/>
              </w:rPr>
            </w:pPr>
            <w:r>
              <w:rPr>
                <w:sz w:val="21"/>
              </w:rPr>
              <w:t>按环评报告及批复要求落实</w:t>
            </w:r>
          </w:p>
        </w:tc>
        <w:tc>
          <w:tcPr>
            <w:tcW w:w="1531" w:type="dxa"/>
            <w:tcBorders>
              <w:top w:val="single" w:sz="4" w:space="0" w:color="000000"/>
              <w:left w:val="single" w:sz="2" w:space="0" w:color="000000"/>
              <w:right w:val="nil"/>
            </w:tcBorders>
          </w:tcPr>
          <w:p>
            <w:pPr>
              <w:pStyle w:val="TableParagraph"/>
              <w:rPr>
                <w:b/>
                <w:sz w:val="22"/>
              </w:rPr>
            </w:pPr>
          </w:p>
          <w:p>
            <w:pPr>
              <w:pStyle w:val="TableParagraph"/>
              <w:spacing w:before="165"/>
              <w:ind w:left="28"/>
              <w:jc w:val="center"/>
              <w:rPr>
                <w:rFonts w:ascii="Times New Roman"/>
                <w:sz w:val="21"/>
              </w:rPr>
            </w:pPr>
            <w:r>
              <w:rPr>
                <w:rFonts w:ascii="Times New Roman"/>
                <w:w w:val="99"/>
                <w:sz w:val="21"/>
              </w:rPr>
              <w:t>/</w:t>
            </w:r>
          </w:p>
        </w:tc>
      </w:tr>
    </w:tbl>
    <w:p>
      <w:pPr>
        <w:spacing w:after="0"/>
        <w:jc w:val="center"/>
        <w:rPr>
          <w:rFonts w:ascii="Times New Roman"/>
          <w:sz w:val="21"/>
        </w:rPr>
        <w:sectPr>
          <w:type w:val="continuous"/>
          <w:pgSz w:w="11910" w:h="16840"/>
          <w:pgMar w:top="1580" w:bottom="280" w:left="1020" w:right="880"/>
        </w:sectPr>
      </w:pPr>
    </w:p>
    <w:p>
      <w:pPr>
        <w:spacing w:before="142"/>
        <w:ind w:left="132" w:right="0" w:firstLine="0"/>
        <w:jc w:val="left"/>
        <w:rPr>
          <w:b/>
          <w:sz w:val="24"/>
        </w:rPr>
      </w:pPr>
      <w:r>
        <w:rPr>
          <w:rFonts w:ascii="Times New Roman" w:eastAsia="Times New Roman"/>
          <w:b/>
          <w:sz w:val="24"/>
        </w:rPr>
        <w:t>7.2.9 </w:t>
      </w:r>
      <w:r>
        <w:rPr>
          <w:b/>
          <w:sz w:val="24"/>
        </w:rPr>
        <w:t>污染物排放清单</w:t>
      </w:r>
    </w:p>
    <w:p>
      <w:pPr>
        <w:pStyle w:val="BodyText"/>
        <w:spacing w:before="107"/>
        <w:ind w:left="612"/>
      </w:pPr>
      <w:r>
        <w:rPr/>
        <w:t>本项目污染物排放清单见表 </w:t>
      </w:r>
      <w:r>
        <w:rPr>
          <w:rFonts w:ascii="Times New Roman" w:eastAsia="Times New Roman"/>
        </w:rPr>
        <w:t>7.9</w:t>
      </w:r>
      <w:r>
        <w:rPr/>
        <w:t>：</w:t>
      </w:r>
    </w:p>
    <w:p>
      <w:pPr>
        <w:pStyle w:val="Heading2"/>
        <w:tabs>
          <w:tab w:pos="6252" w:val="left" w:leader="none"/>
        </w:tabs>
        <w:spacing w:before="22"/>
        <w:ind w:left="5412"/>
      </w:pPr>
      <w:r>
        <w:rPr/>
        <w:t>表</w:t>
      </w:r>
      <w:r>
        <w:rPr>
          <w:spacing w:val="-62"/>
        </w:rPr>
        <w:t> </w:t>
      </w:r>
      <w:r>
        <w:rPr>
          <w:rFonts w:ascii="Times New Roman" w:eastAsia="Times New Roman"/>
        </w:rPr>
        <w:t>7.9</w:t>
        <w:tab/>
      </w:r>
      <w:r>
        <w:rPr/>
        <w:t>项目污染物排放情况一览表</w:t>
      </w:r>
    </w:p>
    <w:tbl>
      <w:tblPr>
        <w:tblW w:w="0" w:type="auto"/>
        <w:jc w:val="left"/>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63"/>
        <w:gridCol w:w="1477"/>
        <w:gridCol w:w="1392"/>
        <w:gridCol w:w="971"/>
        <w:gridCol w:w="1338"/>
        <w:gridCol w:w="3735"/>
        <w:gridCol w:w="909"/>
        <w:gridCol w:w="1790"/>
        <w:gridCol w:w="882"/>
        <w:gridCol w:w="1108"/>
      </w:tblGrid>
      <w:tr>
        <w:trPr>
          <w:trHeight w:val="360" w:hRule="atLeast"/>
        </w:trPr>
        <w:tc>
          <w:tcPr>
            <w:tcW w:w="863" w:type="dxa"/>
            <w:vMerge w:val="restart"/>
            <w:tcBorders>
              <w:left w:val="nil"/>
              <w:right w:val="single" w:sz="4" w:space="0" w:color="000000"/>
            </w:tcBorders>
          </w:tcPr>
          <w:p>
            <w:pPr>
              <w:pStyle w:val="TableParagraph"/>
              <w:spacing w:before="2"/>
              <w:rPr>
                <w:b/>
                <w:sz w:val="17"/>
              </w:rPr>
            </w:pPr>
          </w:p>
          <w:p>
            <w:pPr>
              <w:pStyle w:val="TableParagraph"/>
              <w:ind w:left="233"/>
              <w:rPr>
                <w:sz w:val="21"/>
              </w:rPr>
            </w:pPr>
            <w:r>
              <w:rPr>
                <w:sz w:val="21"/>
              </w:rPr>
              <w:t>类别</w:t>
            </w:r>
          </w:p>
        </w:tc>
        <w:tc>
          <w:tcPr>
            <w:tcW w:w="1477" w:type="dxa"/>
            <w:vMerge w:val="restart"/>
            <w:tcBorders>
              <w:left w:val="single" w:sz="4" w:space="0" w:color="000000"/>
              <w:right w:val="single" w:sz="4" w:space="0" w:color="000000"/>
            </w:tcBorders>
          </w:tcPr>
          <w:p>
            <w:pPr>
              <w:pStyle w:val="TableParagraph"/>
              <w:spacing w:before="2"/>
              <w:rPr>
                <w:b/>
                <w:sz w:val="17"/>
              </w:rPr>
            </w:pPr>
          </w:p>
          <w:p>
            <w:pPr>
              <w:pStyle w:val="TableParagraph"/>
              <w:ind w:left="433"/>
              <w:rPr>
                <w:sz w:val="21"/>
              </w:rPr>
            </w:pPr>
            <w:r>
              <w:rPr>
                <w:sz w:val="21"/>
              </w:rPr>
              <w:t>污染源</w:t>
            </w:r>
          </w:p>
        </w:tc>
        <w:tc>
          <w:tcPr>
            <w:tcW w:w="1392" w:type="dxa"/>
            <w:vMerge w:val="restart"/>
            <w:tcBorders>
              <w:left w:val="single" w:sz="4" w:space="0" w:color="000000"/>
              <w:right w:val="single" w:sz="4" w:space="0" w:color="000000"/>
            </w:tcBorders>
          </w:tcPr>
          <w:p>
            <w:pPr>
              <w:pStyle w:val="TableParagraph"/>
              <w:spacing w:before="2"/>
              <w:rPr>
                <w:b/>
                <w:sz w:val="17"/>
              </w:rPr>
            </w:pPr>
          </w:p>
          <w:p>
            <w:pPr>
              <w:pStyle w:val="TableParagraph"/>
              <w:ind w:left="391"/>
              <w:rPr>
                <w:sz w:val="21"/>
              </w:rPr>
            </w:pPr>
            <w:r>
              <w:rPr>
                <w:sz w:val="21"/>
              </w:rPr>
              <w:t>污染物</w:t>
            </w:r>
          </w:p>
        </w:tc>
        <w:tc>
          <w:tcPr>
            <w:tcW w:w="971" w:type="dxa"/>
            <w:vMerge w:val="restart"/>
            <w:tcBorders>
              <w:left w:val="single" w:sz="4" w:space="0" w:color="000000"/>
              <w:right w:val="single" w:sz="4" w:space="0" w:color="000000"/>
            </w:tcBorders>
          </w:tcPr>
          <w:p>
            <w:pPr>
              <w:pStyle w:val="TableParagraph"/>
              <w:spacing w:before="2"/>
              <w:rPr>
                <w:b/>
                <w:sz w:val="17"/>
              </w:rPr>
            </w:pPr>
          </w:p>
          <w:p>
            <w:pPr>
              <w:pStyle w:val="TableParagraph"/>
              <w:ind w:left="74"/>
              <w:rPr>
                <w:sz w:val="21"/>
              </w:rPr>
            </w:pPr>
            <w:r>
              <w:rPr>
                <w:sz w:val="21"/>
              </w:rPr>
              <w:t>排放浓度</w:t>
            </w:r>
          </w:p>
        </w:tc>
        <w:tc>
          <w:tcPr>
            <w:tcW w:w="1338" w:type="dxa"/>
            <w:vMerge w:val="restart"/>
            <w:tcBorders>
              <w:left w:val="single" w:sz="4" w:space="0" w:color="000000"/>
              <w:right w:val="single" w:sz="4" w:space="0" w:color="000000"/>
            </w:tcBorders>
          </w:tcPr>
          <w:p>
            <w:pPr>
              <w:pStyle w:val="TableParagraph"/>
              <w:spacing w:before="2"/>
              <w:rPr>
                <w:b/>
                <w:sz w:val="17"/>
              </w:rPr>
            </w:pPr>
          </w:p>
          <w:p>
            <w:pPr>
              <w:pStyle w:val="TableParagraph"/>
              <w:ind w:left="363"/>
              <w:rPr>
                <w:sz w:val="21"/>
              </w:rPr>
            </w:pPr>
            <w:r>
              <w:rPr>
                <w:sz w:val="21"/>
              </w:rPr>
              <w:t>排放量</w:t>
            </w:r>
          </w:p>
        </w:tc>
        <w:tc>
          <w:tcPr>
            <w:tcW w:w="3735" w:type="dxa"/>
            <w:vMerge w:val="restart"/>
            <w:tcBorders>
              <w:left w:val="single" w:sz="4" w:space="0" w:color="000000"/>
              <w:right w:val="single" w:sz="4" w:space="0" w:color="000000"/>
            </w:tcBorders>
          </w:tcPr>
          <w:p>
            <w:pPr>
              <w:pStyle w:val="TableParagraph"/>
              <w:spacing w:before="2"/>
              <w:rPr>
                <w:b/>
                <w:sz w:val="17"/>
              </w:rPr>
            </w:pPr>
          </w:p>
          <w:p>
            <w:pPr>
              <w:pStyle w:val="TableParagraph"/>
              <w:ind w:left="70" w:right="44"/>
              <w:jc w:val="center"/>
              <w:rPr>
                <w:sz w:val="21"/>
              </w:rPr>
            </w:pPr>
            <w:r>
              <w:rPr>
                <w:sz w:val="21"/>
              </w:rPr>
              <w:t>治理措施</w:t>
            </w:r>
          </w:p>
        </w:tc>
        <w:tc>
          <w:tcPr>
            <w:tcW w:w="909" w:type="dxa"/>
            <w:vMerge w:val="restart"/>
            <w:tcBorders>
              <w:left w:val="single" w:sz="4" w:space="0" w:color="000000"/>
              <w:right w:val="single" w:sz="4" w:space="0" w:color="000000"/>
            </w:tcBorders>
          </w:tcPr>
          <w:p>
            <w:pPr>
              <w:pStyle w:val="TableParagraph"/>
              <w:spacing w:before="2"/>
              <w:rPr>
                <w:b/>
                <w:sz w:val="17"/>
              </w:rPr>
            </w:pPr>
          </w:p>
          <w:p>
            <w:pPr>
              <w:pStyle w:val="TableParagraph"/>
              <w:ind w:left="42"/>
              <w:rPr>
                <w:sz w:val="21"/>
              </w:rPr>
            </w:pPr>
            <w:r>
              <w:rPr>
                <w:sz w:val="21"/>
              </w:rPr>
              <w:t>排放参数</w:t>
            </w:r>
          </w:p>
        </w:tc>
        <w:tc>
          <w:tcPr>
            <w:tcW w:w="2672" w:type="dxa"/>
            <w:gridSpan w:val="2"/>
            <w:tcBorders>
              <w:left w:val="single" w:sz="4" w:space="0" w:color="000000"/>
              <w:bottom w:val="single" w:sz="4" w:space="0" w:color="000000"/>
              <w:right w:val="single" w:sz="4" w:space="0" w:color="000000"/>
            </w:tcBorders>
          </w:tcPr>
          <w:p>
            <w:pPr>
              <w:pStyle w:val="TableParagraph"/>
              <w:spacing w:before="50"/>
              <w:ind w:left="905" w:right="877"/>
              <w:jc w:val="center"/>
              <w:rPr>
                <w:sz w:val="21"/>
              </w:rPr>
            </w:pPr>
            <w:r>
              <w:rPr>
                <w:sz w:val="21"/>
              </w:rPr>
              <w:t>排放标准</w:t>
            </w:r>
          </w:p>
        </w:tc>
        <w:tc>
          <w:tcPr>
            <w:tcW w:w="1108" w:type="dxa"/>
            <w:vMerge w:val="restart"/>
            <w:tcBorders>
              <w:left w:val="single" w:sz="4" w:space="0" w:color="000000"/>
              <w:right w:val="nil"/>
            </w:tcBorders>
          </w:tcPr>
          <w:p>
            <w:pPr>
              <w:pStyle w:val="TableParagraph"/>
              <w:spacing w:before="2"/>
              <w:rPr>
                <w:b/>
                <w:sz w:val="17"/>
              </w:rPr>
            </w:pPr>
          </w:p>
          <w:p>
            <w:pPr>
              <w:pStyle w:val="TableParagraph"/>
              <w:ind w:left="143"/>
              <w:rPr>
                <w:sz w:val="21"/>
              </w:rPr>
            </w:pPr>
            <w:r>
              <w:rPr>
                <w:sz w:val="21"/>
              </w:rPr>
              <w:t>排放去向</w:t>
            </w:r>
          </w:p>
        </w:tc>
      </w:tr>
      <w:tr>
        <w:trPr>
          <w:trHeight w:val="323" w:hRule="atLeast"/>
        </w:trPr>
        <w:tc>
          <w:tcPr>
            <w:tcW w:w="863" w:type="dxa"/>
            <w:vMerge/>
            <w:tcBorders>
              <w:top w:val="nil"/>
              <w:left w:val="nil"/>
              <w:right w:val="single" w:sz="4" w:space="0" w:color="000000"/>
            </w:tcBorders>
          </w:tcPr>
          <w:p>
            <w:pPr>
              <w:rPr>
                <w:sz w:val="2"/>
                <w:szCs w:val="2"/>
              </w:rPr>
            </w:pPr>
          </w:p>
        </w:tc>
        <w:tc>
          <w:tcPr>
            <w:tcW w:w="1477" w:type="dxa"/>
            <w:vMerge/>
            <w:tcBorders>
              <w:top w:val="nil"/>
              <w:left w:val="single" w:sz="4" w:space="0" w:color="000000"/>
              <w:right w:val="single" w:sz="4" w:space="0" w:color="000000"/>
            </w:tcBorders>
          </w:tcPr>
          <w:p>
            <w:pPr>
              <w:rPr>
                <w:sz w:val="2"/>
                <w:szCs w:val="2"/>
              </w:rPr>
            </w:pPr>
          </w:p>
        </w:tc>
        <w:tc>
          <w:tcPr>
            <w:tcW w:w="1392" w:type="dxa"/>
            <w:vMerge/>
            <w:tcBorders>
              <w:top w:val="nil"/>
              <w:left w:val="single" w:sz="4" w:space="0" w:color="000000"/>
              <w:right w:val="single" w:sz="4" w:space="0" w:color="000000"/>
            </w:tcBorders>
          </w:tcPr>
          <w:p>
            <w:pPr>
              <w:rPr>
                <w:sz w:val="2"/>
                <w:szCs w:val="2"/>
              </w:rPr>
            </w:pPr>
          </w:p>
        </w:tc>
        <w:tc>
          <w:tcPr>
            <w:tcW w:w="971" w:type="dxa"/>
            <w:vMerge/>
            <w:tcBorders>
              <w:top w:val="nil"/>
              <w:left w:val="single" w:sz="4" w:space="0" w:color="000000"/>
              <w:right w:val="single" w:sz="4" w:space="0" w:color="000000"/>
            </w:tcBorders>
          </w:tcPr>
          <w:p>
            <w:pPr>
              <w:rPr>
                <w:sz w:val="2"/>
                <w:szCs w:val="2"/>
              </w:rPr>
            </w:pPr>
          </w:p>
        </w:tc>
        <w:tc>
          <w:tcPr>
            <w:tcW w:w="1338" w:type="dxa"/>
            <w:vMerge/>
            <w:tcBorders>
              <w:top w:val="nil"/>
              <w:left w:val="single" w:sz="4" w:space="0" w:color="000000"/>
              <w:right w:val="single" w:sz="4" w:space="0" w:color="000000"/>
            </w:tcBorders>
          </w:tcPr>
          <w:p>
            <w:pPr>
              <w:rPr>
                <w:sz w:val="2"/>
                <w:szCs w:val="2"/>
              </w:rPr>
            </w:pPr>
          </w:p>
        </w:tc>
        <w:tc>
          <w:tcPr>
            <w:tcW w:w="3735" w:type="dxa"/>
            <w:vMerge/>
            <w:tcBorders>
              <w:top w:val="nil"/>
              <w:left w:val="single" w:sz="4" w:space="0" w:color="000000"/>
              <w:right w:val="single" w:sz="4" w:space="0" w:color="000000"/>
            </w:tcBorders>
          </w:tcPr>
          <w:p>
            <w:pPr>
              <w:rPr>
                <w:sz w:val="2"/>
                <w:szCs w:val="2"/>
              </w:rPr>
            </w:pPr>
          </w:p>
        </w:tc>
        <w:tc>
          <w:tcPr>
            <w:tcW w:w="909" w:type="dxa"/>
            <w:vMerge/>
            <w:tcBorders>
              <w:top w:val="nil"/>
              <w:left w:val="single" w:sz="4" w:space="0" w:color="000000"/>
              <w:right w:val="single" w:sz="4" w:space="0" w:color="000000"/>
            </w:tcBorders>
          </w:tcPr>
          <w:p>
            <w:pPr>
              <w:rPr>
                <w:sz w:val="2"/>
                <w:szCs w:val="2"/>
              </w:rPr>
            </w:pPr>
          </w:p>
        </w:tc>
        <w:tc>
          <w:tcPr>
            <w:tcW w:w="1790" w:type="dxa"/>
            <w:tcBorders>
              <w:top w:val="single" w:sz="4" w:space="0" w:color="000000"/>
              <w:left w:val="single" w:sz="4" w:space="0" w:color="000000"/>
              <w:right w:val="single" w:sz="4" w:space="0" w:color="000000"/>
            </w:tcBorders>
          </w:tcPr>
          <w:p>
            <w:pPr>
              <w:pStyle w:val="TableParagraph"/>
              <w:spacing w:before="31"/>
              <w:ind w:left="62" w:right="35"/>
              <w:jc w:val="center"/>
              <w:rPr>
                <w:sz w:val="21"/>
              </w:rPr>
            </w:pPr>
            <w:r>
              <w:rPr>
                <w:sz w:val="21"/>
              </w:rPr>
              <w:t>标准名称</w:t>
            </w:r>
          </w:p>
        </w:tc>
        <w:tc>
          <w:tcPr>
            <w:tcW w:w="882" w:type="dxa"/>
            <w:tcBorders>
              <w:top w:val="single" w:sz="4" w:space="0" w:color="000000"/>
              <w:left w:val="single" w:sz="4" w:space="0" w:color="000000"/>
              <w:right w:val="single" w:sz="4" w:space="0" w:color="000000"/>
            </w:tcBorders>
          </w:tcPr>
          <w:p>
            <w:pPr>
              <w:pStyle w:val="TableParagraph"/>
              <w:spacing w:before="31"/>
              <w:ind w:right="3"/>
              <w:jc w:val="right"/>
              <w:rPr>
                <w:sz w:val="21"/>
              </w:rPr>
            </w:pPr>
            <w:r>
              <w:rPr>
                <w:w w:val="95"/>
                <w:sz w:val="21"/>
              </w:rPr>
              <w:t>排放限值</w:t>
            </w:r>
          </w:p>
        </w:tc>
        <w:tc>
          <w:tcPr>
            <w:tcW w:w="1108" w:type="dxa"/>
            <w:vMerge/>
            <w:tcBorders>
              <w:top w:val="nil"/>
              <w:left w:val="single" w:sz="4" w:space="0" w:color="000000"/>
              <w:right w:val="nil"/>
            </w:tcBorders>
          </w:tcPr>
          <w:p>
            <w:pPr>
              <w:rPr>
                <w:sz w:val="2"/>
                <w:szCs w:val="2"/>
              </w:rPr>
            </w:pPr>
          </w:p>
        </w:tc>
      </w:tr>
      <w:tr>
        <w:trPr>
          <w:trHeight w:val="367" w:hRule="atLeast"/>
        </w:trPr>
        <w:tc>
          <w:tcPr>
            <w:tcW w:w="863" w:type="dxa"/>
            <w:vMerge w:val="restart"/>
            <w:tcBorders>
              <w:left w:val="nil"/>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6"/>
              <w:rPr>
                <w:b/>
                <w:sz w:val="17"/>
              </w:rPr>
            </w:pPr>
          </w:p>
          <w:p>
            <w:pPr>
              <w:pStyle w:val="TableParagraph"/>
              <w:spacing w:before="1"/>
              <w:ind w:left="233"/>
              <w:rPr>
                <w:sz w:val="21"/>
              </w:rPr>
            </w:pPr>
            <w:r>
              <w:rPr>
                <w:sz w:val="21"/>
              </w:rPr>
              <w:t>废气</w:t>
            </w:r>
          </w:p>
        </w:tc>
        <w:tc>
          <w:tcPr>
            <w:tcW w:w="1477" w:type="dxa"/>
            <w:tcBorders>
              <w:left w:val="single" w:sz="4" w:space="0" w:color="000000"/>
              <w:bottom w:val="single" w:sz="4" w:space="0" w:color="000000"/>
              <w:right w:val="single" w:sz="4" w:space="0" w:color="000000"/>
            </w:tcBorders>
          </w:tcPr>
          <w:p>
            <w:pPr>
              <w:pStyle w:val="TableParagraph"/>
              <w:spacing w:before="47"/>
              <w:ind w:left="95" w:right="70"/>
              <w:jc w:val="center"/>
              <w:rPr>
                <w:sz w:val="21"/>
              </w:rPr>
            </w:pPr>
            <w:r>
              <w:rPr>
                <w:sz w:val="21"/>
              </w:rPr>
              <w:t>开采粉尘</w:t>
            </w:r>
          </w:p>
        </w:tc>
        <w:tc>
          <w:tcPr>
            <w:tcW w:w="1392" w:type="dxa"/>
            <w:vMerge w:val="restart"/>
            <w:tcBorders>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130"/>
              <w:ind w:left="382" w:right="358"/>
              <w:jc w:val="center"/>
              <w:rPr>
                <w:sz w:val="21"/>
              </w:rPr>
            </w:pPr>
            <w:r>
              <w:rPr>
                <w:sz w:val="21"/>
              </w:rPr>
              <w:t>粉尘</w:t>
            </w:r>
          </w:p>
        </w:tc>
        <w:tc>
          <w:tcPr>
            <w:tcW w:w="971" w:type="dxa"/>
            <w:vMerge w:val="restart"/>
            <w:tcBorders>
              <w:left w:val="single" w:sz="4" w:space="0" w:color="000000"/>
              <w:bottom w:val="single" w:sz="4" w:space="0" w:color="000000"/>
              <w:right w:val="single" w:sz="4" w:space="0" w:color="000000"/>
            </w:tcBorders>
          </w:tcPr>
          <w:p>
            <w:pPr>
              <w:pStyle w:val="TableParagraph"/>
              <w:rPr>
                <w:b/>
                <w:sz w:val="22"/>
              </w:rPr>
            </w:pPr>
          </w:p>
          <w:p>
            <w:pPr>
              <w:pStyle w:val="TableParagraph"/>
              <w:spacing w:before="5"/>
              <w:rPr>
                <w:b/>
                <w:sz w:val="29"/>
              </w:rPr>
            </w:pPr>
          </w:p>
          <w:p>
            <w:pPr>
              <w:pStyle w:val="TableParagraph"/>
              <w:spacing w:before="1"/>
              <w:ind w:left="28"/>
              <w:jc w:val="center"/>
              <w:rPr>
                <w:rFonts w:ascii="Times New Roman"/>
                <w:sz w:val="21"/>
              </w:rPr>
            </w:pPr>
            <w:r>
              <w:rPr>
                <w:rFonts w:ascii="Times New Roman"/>
                <w:w w:val="99"/>
                <w:sz w:val="21"/>
              </w:rPr>
              <w:t>/</w:t>
            </w:r>
          </w:p>
        </w:tc>
        <w:tc>
          <w:tcPr>
            <w:tcW w:w="1338" w:type="dxa"/>
            <w:tcBorders>
              <w:left w:val="single" w:sz="4" w:space="0" w:color="000000"/>
              <w:bottom w:val="single" w:sz="4" w:space="0" w:color="000000"/>
              <w:right w:val="single" w:sz="4" w:space="0" w:color="000000"/>
            </w:tcBorders>
          </w:tcPr>
          <w:p>
            <w:pPr>
              <w:pStyle w:val="TableParagraph"/>
              <w:spacing w:before="61"/>
              <w:ind w:left="117" w:right="88"/>
              <w:jc w:val="center"/>
              <w:rPr>
                <w:rFonts w:ascii="Times New Roman"/>
                <w:sz w:val="21"/>
              </w:rPr>
            </w:pPr>
            <w:r>
              <w:rPr>
                <w:rFonts w:ascii="Times New Roman"/>
                <w:sz w:val="21"/>
              </w:rPr>
              <w:t>0.17t/a</w:t>
            </w:r>
          </w:p>
        </w:tc>
        <w:tc>
          <w:tcPr>
            <w:tcW w:w="3735" w:type="dxa"/>
            <w:tcBorders>
              <w:left w:val="single" w:sz="4" w:space="0" w:color="000000"/>
              <w:bottom w:val="single" w:sz="4" w:space="0" w:color="000000"/>
              <w:right w:val="single" w:sz="4" w:space="0" w:color="000000"/>
            </w:tcBorders>
          </w:tcPr>
          <w:p>
            <w:pPr>
              <w:pStyle w:val="TableParagraph"/>
              <w:spacing w:before="47"/>
              <w:ind w:left="70" w:right="44"/>
              <w:jc w:val="center"/>
              <w:rPr>
                <w:sz w:val="21"/>
              </w:rPr>
            </w:pPr>
            <w:r>
              <w:rPr>
                <w:sz w:val="21"/>
              </w:rPr>
              <w:t>喷淋洒水</w:t>
            </w:r>
          </w:p>
        </w:tc>
        <w:tc>
          <w:tcPr>
            <w:tcW w:w="909" w:type="dxa"/>
            <w:tcBorders>
              <w:left w:val="single" w:sz="4" w:space="0" w:color="000000"/>
              <w:bottom w:val="single" w:sz="4" w:space="0" w:color="000000"/>
              <w:right w:val="single" w:sz="4" w:space="0" w:color="000000"/>
            </w:tcBorders>
          </w:tcPr>
          <w:p>
            <w:pPr>
              <w:pStyle w:val="TableParagraph"/>
              <w:spacing w:before="61"/>
              <w:ind w:left="180" w:right="153"/>
              <w:jc w:val="center"/>
              <w:rPr>
                <w:rFonts w:ascii="Times New Roman"/>
                <w:sz w:val="21"/>
              </w:rPr>
            </w:pPr>
            <w:r>
              <w:rPr>
                <w:rFonts w:ascii="Times New Roman"/>
                <w:sz w:val="21"/>
              </w:rPr>
              <w:t>1050h</w:t>
            </w:r>
          </w:p>
        </w:tc>
        <w:tc>
          <w:tcPr>
            <w:tcW w:w="1790" w:type="dxa"/>
            <w:vMerge w:val="restart"/>
            <w:tcBorders>
              <w:left w:val="single" w:sz="4" w:space="0" w:color="000000"/>
              <w:bottom w:val="single" w:sz="2" w:space="0" w:color="000000"/>
              <w:right w:val="single" w:sz="4" w:space="0" w:color="000000"/>
            </w:tcBorders>
          </w:tcPr>
          <w:p>
            <w:pPr>
              <w:pStyle w:val="TableParagraph"/>
              <w:spacing w:before="4"/>
              <w:rPr>
                <w:b/>
                <w:sz w:val="18"/>
              </w:rPr>
            </w:pPr>
          </w:p>
          <w:p>
            <w:pPr>
              <w:pStyle w:val="TableParagraph"/>
              <w:spacing w:line="244" w:lineRule="auto"/>
              <w:ind w:left="64" w:right="35"/>
              <w:jc w:val="center"/>
              <w:rPr>
                <w:sz w:val="21"/>
              </w:rPr>
            </w:pPr>
            <w:r>
              <w:rPr>
                <w:sz w:val="21"/>
              </w:rPr>
              <w:t>《大气污染物综合排放标准》</w:t>
            </w:r>
          </w:p>
          <w:p>
            <w:pPr>
              <w:pStyle w:val="TableParagraph"/>
              <w:spacing w:line="265" w:lineRule="exact"/>
              <w:ind w:left="27"/>
              <w:jc w:val="center"/>
              <w:rPr>
                <w:sz w:val="21"/>
              </w:rPr>
            </w:pPr>
            <w:r>
              <w:rPr>
                <w:sz w:val="21"/>
              </w:rPr>
              <w:t>（</w:t>
            </w:r>
            <w:r>
              <w:rPr>
                <w:rFonts w:ascii="Times New Roman" w:eastAsia="Times New Roman"/>
                <w:sz w:val="21"/>
              </w:rPr>
              <w:t>GB16297-1996</w:t>
            </w:r>
            <w:r>
              <w:rPr>
                <w:sz w:val="21"/>
              </w:rPr>
              <w:t>）</w:t>
            </w:r>
          </w:p>
          <w:p>
            <w:pPr>
              <w:pStyle w:val="TableParagraph"/>
              <w:spacing w:before="5"/>
              <w:ind w:left="59" w:right="35"/>
              <w:jc w:val="center"/>
              <w:rPr>
                <w:sz w:val="21"/>
              </w:rPr>
            </w:pPr>
            <w:r>
              <w:rPr>
                <w:sz w:val="21"/>
              </w:rPr>
              <w:t>二级标准要求</w:t>
            </w:r>
          </w:p>
        </w:tc>
        <w:tc>
          <w:tcPr>
            <w:tcW w:w="882" w:type="dxa"/>
            <w:vMerge w:val="restart"/>
            <w:tcBorders>
              <w:left w:val="single" w:sz="4" w:space="0" w:color="000000"/>
              <w:bottom w:val="single" w:sz="2" w:space="0" w:color="000000"/>
              <w:right w:val="single" w:sz="4" w:space="0" w:color="000000"/>
            </w:tcBorders>
          </w:tcPr>
          <w:p>
            <w:pPr>
              <w:pStyle w:val="TableParagraph"/>
              <w:rPr>
                <w:b/>
                <w:sz w:val="24"/>
              </w:rPr>
            </w:pPr>
          </w:p>
          <w:p>
            <w:pPr>
              <w:pStyle w:val="TableParagraph"/>
              <w:spacing w:before="5"/>
              <w:rPr>
                <w:b/>
                <w:sz w:val="27"/>
              </w:rPr>
            </w:pPr>
          </w:p>
          <w:p>
            <w:pPr>
              <w:pStyle w:val="TableParagraph"/>
              <w:spacing w:before="1"/>
              <w:ind w:left="14"/>
              <w:rPr>
                <w:rFonts w:ascii="Times New Roman"/>
                <w:sz w:val="13"/>
              </w:rPr>
            </w:pPr>
            <w:r>
              <w:rPr>
                <w:rFonts w:ascii="Times New Roman"/>
                <w:sz w:val="21"/>
              </w:rPr>
              <w:t>1.0mg/m</w:t>
            </w:r>
            <w:r>
              <w:rPr>
                <w:rFonts w:ascii="Times New Roman"/>
                <w:position w:val="7"/>
                <w:sz w:val="13"/>
              </w:rPr>
              <w:t>3</w:t>
            </w:r>
          </w:p>
        </w:tc>
        <w:tc>
          <w:tcPr>
            <w:tcW w:w="1108" w:type="dxa"/>
            <w:vMerge w:val="restart"/>
            <w:tcBorders>
              <w:left w:val="single" w:sz="4" w:space="0" w:color="000000"/>
              <w:bottom w:val="single" w:sz="4" w:space="0" w:color="000000"/>
              <w:right w:val="nil"/>
            </w:tcBorders>
          </w:tcPr>
          <w:p>
            <w:pPr>
              <w:pStyle w:val="TableParagraph"/>
              <w:rPr>
                <w:b/>
                <w:sz w:val="20"/>
              </w:rPr>
            </w:pPr>
          </w:p>
          <w:p>
            <w:pPr>
              <w:pStyle w:val="TableParagraph"/>
              <w:rPr>
                <w:b/>
                <w:sz w:val="20"/>
              </w:rPr>
            </w:pPr>
          </w:p>
          <w:p>
            <w:pPr>
              <w:pStyle w:val="TableParagraph"/>
              <w:spacing w:before="10"/>
              <w:rPr>
                <w:b/>
                <w:sz w:val="26"/>
              </w:rPr>
            </w:pPr>
          </w:p>
          <w:p>
            <w:pPr>
              <w:pStyle w:val="TableParagraph"/>
              <w:spacing w:line="242" w:lineRule="auto" w:before="1"/>
              <w:ind w:left="15" w:right="14" w:firstLine="21"/>
              <w:rPr>
                <w:sz w:val="21"/>
              </w:rPr>
            </w:pPr>
            <w:r>
              <w:rPr>
                <w:sz w:val="21"/>
              </w:rPr>
              <w:t>无组织排入大气环境</w:t>
            </w:r>
          </w:p>
        </w:tc>
      </w:tr>
      <w:tr>
        <w:trPr>
          <w:trHeight w:val="386"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9"/>
              <w:ind w:left="95" w:right="70"/>
              <w:jc w:val="center"/>
              <w:rPr>
                <w:sz w:val="21"/>
              </w:rPr>
            </w:pPr>
            <w:r>
              <w:rPr>
                <w:sz w:val="21"/>
              </w:rPr>
              <w:t>装卸扬尘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971" w:type="dxa"/>
            <w:vMerge/>
            <w:tcBorders>
              <w:top w:val="nil"/>
              <w:left w:val="single" w:sz="4" w:space="0" w:color="000000"/>
              <w:bottom w:val="single" w:sz="4" w:space="0" w:color="000000"/>
              <w:right w:val="single" w:sz="4" w:space="0" w:color="000000"/>
            </w:tcBorders>
          </w:tcPr>
          <w:p>
            <w:pPr>
              <w:rPr>
                <w:sz w:val="2"/>
                <w:szCs w:val="2"/>
              </w:rPr>
            </w:pPr>
          </w:p>
        </w:tc>
        <w:tc>
          <w:tcPr>
            <w:tcW w:w="1338" w:type="dxa"/>
            <w:tcBorders>
              <w:top w:val="single" w:sz="4" w:space="0" w:color="000000"/>
              <w:left w:val="single" w:sz="4" w:space="0" w:color="000000"/>
              <w:bottom w:val="single" w:sz="4" w:space="0" w:color="000000"/>
              <w:right w:val="single" w:sz="4" w:space="0" w:color="000000"/>
            </w:tcBorders>
          </w:tcPr>
          <w:p>
            <w:pPr>
              <w:pStyle w:val="TableParagraph"/>
              <w:spacing w:before="73"/>
              <w:ind w:left="115" w:right="88"/>
              <w:jc w:val="center"/>
              <w:rPr>
                <w:rFonts w:ascii="Times New Roman"/>
                <w:sz w:val="21"/>
              </w:rPr>
            </w:pPr>
            <w:r>
              <w:rPr>
                <w:rFonts w:ascii="Times New Roman"/>
                <w:sz w:val="21"/>
              </w:rPr>
              <w:t>0.074t/a</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59"/>
              <w:ind w:left="70" w:right="42"/>
              <w:jc w:val="center"/>
              <w:rPr>
                <w:sz w:val="21"/>
              </w:rPr>
            </w:pPr>
            <w:r>
              <w:rPr>
                <w:sz w:val="21"/>
              </w:rPr>
              <w:t>增加采场洒水降尘次数、加强管理</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3"/>
              <w:ind w:left="180" w:right="153"/>
              <w:jc w:val="center"/>
              <w:rPr>
                <w:rFonts w:ascii="Times New Roman"/>
                <w:sz w:val="21"/>
              </w:rPr>
            </w:pPr>
            <w:r>
              <w:rPr>
                <w:rFonts w:ascii="Times New Roman"/>
                <w:sz w:val="21"/>
              </w:rPr>
              <w:t>1050h</w:t>
            </w:r>
          </w:p>
        </w:tc>
        <w:tc>
          <w:tcPr>
            <w:tcW w:w="1790" w:type="dxa"/>
            <w:vMerge/>
            <w:tcBorders>
              <w:top w:val="nil"/>
              <w:left w:val="single" w:sz="4" w:space="0" w:color="000000"/>
              <w:bottom w:val="single" w:sz="2" w:space="0" w:color="000000"/>
              <w:right w:val="single" w:sz="4" w:space="0" w:color="000000"/>
            </w:tcBorders>
          </w:tcPr>
          <w:p>
            <w:pPr>
              <w:rPr>
                <w:sz w:val="2"/>
                <w:szCs w:val="2"/>
              </w:rPr>
            </w:pPr>
          </w:p>
        </w:tc>
        <w:tc>
          <w:tcPr>
            <w:tcW w:w="882"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386"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8"/>
              <w:ind w:left="95" w:right="70"/>
              <w:jc w:val="center"/>
              <w:rPr>
                <w:sz w:val="21"/>
              </w:rPr>
            </w:pPr>
            <w:r>
              <w:rPr>
                <w:sz w:val="21"/>
              </w:rPr>
              <w:t>运输扬尘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971" w:type="dxa"/>
            <w:vMerge/>
            <w:tcBorders>
              <w:top w:val="nil"/>
              <w:left w:val="single" w:sz="4" w:space="0" w:color="000000"/>
              <w:bottom w:val="single" w:sz="4" w:space="0" w:color="000000"/>
              <w:right w:val="single" w:sz="4" w:space="0" w:color="000000"/>
            </w:tcBorders>
          </w:tcPr>
          <w:p>
            <w:pPr>
              <w:rPr>
                <w:sz w:val="2"/>
                <w:szCs w:val="2"/>
              </w:rPr>
            </w:pPr>
          </w:p>
        </w:tc>
        <w:tc>
          <w:tcPr>
            <w:tcW w:w="1338" w:type="dxa"/>
            <w:tcBorders>
              <w:top w:val="single" w:sz="4" w:space="0" w:color="000000"/>
              <w:left w:val="single" w:sz="4" w:space="0" w:color="000000"/>
              <w:bottom w:val="single" w:sz="4" w:space="0" w:color="000000"/>
              <w:right w:val="single" w:sz="4" w:space="0" w:color="000000"/>
            </w:tcBorders>
          </w:tcPr>
          <w:p>
            <w:pPr>
              <w:pStyle w:val="TableParagraph"/>
              <w:spacing w:before="72"/>
              <w:ind w:left="115" w:right="88"/>
              <w:jc w:val="center"/>
              <w:rPr>
                <w:rFonts w:ascii="Times New Roman"/>
                <w:sz w:val="21"/>
              </w:rPr>
            </w:pPr>
            <w:r>
              <w:rPr>
                <w:rFonts w:ascii="Times New Roman"/>
                <w:sz w:val="21"/>
              </w:rPr>
              <w:t>0.0002t/a</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44"/>
              <w:jc w:val="center"/>
              <w:rPr>
                <w:sz w:val="21"/>
              </w:rPr>
            </w:pPr>
            <w:r>
              <w:rPr>
                <w:sz w:val="21"/>
              </w:rPr>
              <w:t>道路采取压实、道路洒水、车辆限速等</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2"/>
              <w:ind w:left="180" w:right="153"/>
              <w:jc w:val="center"/>
              <w:rPr>
                <w:rFonts w:ascii="Times New Roman"/>
                <w:sz w:val="21"/>
              </w:rPr>
            </w:pPr>
            <w:r>
              <w:rPr>
                <w:rFonts w:ascii="Times New Roman"/>
                <w:sz w:val="21"/>
              </w:rPr>
              <w:t>1050h</w:t>
            </w:r>
          </w:p>
        </w:tc>
        <w:tc>
          <w:tcPr>
            <w:tcW w:w="1790" w:type="dxa"/>
            <w:vMerge/>
            <w:tcBorders>
              <w:top w:val="nil"/>
              <w:left w:val="single" w:sz="4" w:space="0" w:color="000000"/>
              <w:bottom w:val="single" w:sz="2" w:space="0" w:color="000000"/>
              <w:right w:val="single" w:sz="4" w:space="0" w:color="000000"/>
            </w:tcBorders>
          </w:tcPr>
          <w:p>
            <w:pPr>
              <w:rPr>
                <w:sz w:val="2"/>
                <w:szCs w:val="2"/>
              </w:rPr>
            </w:pPr>
          </w:p>
        </w:tc>
        <w:tc>
          <w:tcPr>
            <w:tcW w:w="882"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387"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7"/>
              <w:ind w:left="95" w:right="72"/>
              <w:jc w:val="center"/>
              <w:rPr>
                <w:sz w:val="21"/>
              </w:rPr>
            </w:pPr>
            <w:r>
              <w:rPr>
                <w:sz w:val="21"/>
              </w:rPr>
              <w:t>表土堆场扬尘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971" w:type="dxa"/>
            <w:vMerge/>
            <w:tcBorders>
              <w:top w:val="nil"/>
              <w:left w:val="single" w:sz="4" w:space="0" w:color="000000"/>
              <w:bottom w:val="single" w:sz="4" w:space="0" w:color="000000"/>
              <w:right w:val="single" w:sz="4" w:space="0" w:color="000000"/>
            </w:tcBorders>
          </w:tcPr>
          <w:p>
            <w:pPr>
              <w:rPr>
                <w:sz w:val="2"/>
                <w:szCs w:val="2"/>
              </w:rPr>
            </w:pPr>
          </w:p>
        </w:tc>
        <w:tc>
          <w:tcPr>
            <w:tcW w:w="1338" w:type="dxa"/>
            <w:tcBorders>
              <w:top w:val="single" w:sz="4" w:space="0" w:color="000000"/>
              <w:left w:val="single" w:sz="4" w:space="0" w:color="000000"/>
              <w:bottom w:val="single" w:sz="4" w:space="0" w:color="000000"/>
              <w:right w:val="single" w:sz="4" w:space="0" w:color="000000"/>
            </w:tcBorders>
          </w:tcPr>
          <w:p>
            <w:pPr>
              <w:pStyle w:val="TableParagraph"/>
              <w:spacing w:before="57"/>
              <w:ind w:left="119" w:right="88"/>
              <w:jc w:val="center"/>
              <w:rPr>
                <w:rFonts w:ascii="Times New Roman" w:eastAsia="Times New Roman"/>
                <w:sz w:val="13"/>
              </w:rPr>
            </w:pPr>
            <w:r>
              <w:rPr>
                <w:sz w:val="21"/>
              </w:rPr>
              <w:t>＜</w:t>
            </w:r>
            <w:r>
              <w:rPr>
                <w:rFonts w:ascii="Times New Roman" w:eastAsia="Times New Roman"/>
                <w:sz w:val="21"/>
              </w:rPr>
              <w:t>1.0 mg/m</w:t>
            </w:r>
            <w:r>
              <w:rPr>
                <w:rFonts w:ascii="Times New Roman" w:eastAsia="Times New Roman"/>
                <w:position w:val="7"/>
                <w:sz w:val="13"/>
              </w:rPr>
              <w:t>3</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44"/>
              <w:jc w:val="center"/>
              <w:rPr>
                <w:sz w:val="21"/>
              </w:rPr>
            </w:pPr>
            <w:r>
              <w:rPr>
                <w:sz w:val="21"/>
              </w:rPr>
              <w:t>喷水，压实，植被</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1"/>
              <w:ind w:left="26"/>
              <w:jc w:val="center"/>
              <w:rPr>
                <w:rFonts w:ascii="Times New Roman"/>
                <w:sz w:val="21"/>
              </w:rPr>
            </w:pPr>
            <w:r>
              <w:rPr>
                <w:rFonts w:ascii="Times New Roman"/>
                <w:w w:val="99"/>
                <w:sz w:val="21"/>
              </w:rPr>
              <w:t>/</w:t>
            </w:r>
          </w:p>
        </w:tc>
        <w:tc>
          <w:tcPr>
            <w:tcW w:w="1790" w:type="dxa"/>
            <w:vMerge/>
            <w:tcBorders>
              <w:top w:val="nil"/>
              <w:left w:val="single" w:sz="4" w:space="0" w:color="000000"/>
              <w:bottom w:val="single" w:sz="2" w:space="0" w:color="000000"/>
              <w:right w:val="single" w:sz="4" w:space="0" w:color="000000"/>
            </w:tcBorders>
          </w:tcPr>
          <w:p>
            <w:pPr>
              <w:rPr>
                <w:sz w:val="2"/>
                <w:szCs w:val="2"/>
              </w:rPr>
            </w:pPr>
          </w:p>
        </w:tc>
        <w:tc>
          <w:tcPr>
            <w:tcW w:w="882"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687"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6"/>
              </w:rPr>
            </w:pPr>
          </w:p>
          <w:p>
            <w:pPr>
              <w:pStyle w:val="TableParagraph"/>
              <w:ind w:left="95" w:right="70"/>
              <w:jc w:val="center"/>
              <w:rPr>
                <w:sz w:val="21"/>
              </w:rPr>
            </w:pPr>
            <w:r>
              <w:rPr>
                <w:sz w:val="21"/>
              </w:rPr>
              <w:t>机械废气</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3"/>
              <w:ind w:left="494" w:right="-15" w:hanging="478"/>
              <w:rPr>
                <w:sz w:val="21"/>
              </w:rPr>
            </w:pPr>
            <w:r>
              <w:rPr>
                <w:rFonts w:ascii="Times New Roman" w:eastAsia="Times New Roman"/>
                <w:sz w:val="21"/>
              </w:rPr>
              <w:t>NOx</w:t>
            </w:r>
            <w:r>
              <w:rPr>
                <w:spacing w:val="-3"/>
                <w:sz w:val="21"/>
              </w:rPr>
              <w:t>、</w:t>
            </w:r>
            <w:r>
              <w:rPr>
                <w:rFonts w:ascii="Times New Roman" w:eastAsia="Times New Roman"/>
                <w:sz w:val="21"/>
              </w:rPr>
              <w:t>CO</w:t>
            </w:r>
            <w:r>
              <w:rPr>
                <w:rFonts w:ascii="Times New Roman" w:eastAsia="Times New Roman"/>
                <w:spacing w:val="-3"/>
                <w:sz w:val="21"/>
              </w:rPr>
              <w:t> </w:t>
            </w:r>
            <w:r>
              <w:rPr>
                <w:spacing w:val="-7"/>
                <w:sz w:val="21"/>
              </w:rPr>
              <w:t>和颗</w:t>
            </w:r>
            <w:r>
              <w:rPr>
                <w:sz w:val="21"/>
              </w:rPr>
              <w:t>粒物</w:t>
            </w:r>
          </w:p>
        </w:tc>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465"/>
              <w:rPr>
                <w:rFonts w:ascii="Times New Roman"/>
                <w:sz w:val="21"/>
              </w:rPr>
            </w:pPr>
            <w:r>
              <w:rPr>
                <w:rFonts w:ascii="Times New Roman"/>
                <w:w w:val="99"/>
                <w:sz w:val="21"/>
              </w:rPr>
              <w:t>/</w:t>
            </w:r>
          </w:p>
        </w:tc>
        <w:tc>
          <w:tcPr>
            <w:tcW w:w="1338"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8"/>
              <w:jc w:val="center"/>
              <w:rPr>
                <w:rFonts w:ascii="Times New Roman"/>
                <w:sz w:val="21"/>
              </w:rPr>
            </w:pPr>
            <w:r>
              <w:rPr>
                <w:rFonts w:ascii="Times New Roman"/>
                <w:w w:val="99"/>
                <w:sz w:val="21"/>
              </w:rPr>
              <w:t>/</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9"/>
              <w:jc w:val="center"/>
              <w:rPr>
                <w:rFonts w:ascii="Times New Roman"/>
                <w:sz w:val="21"/>
              </w:rPr>
            </w:pPr>
            <w:r>
              <w:rPr>
                <w:rFonts w:ascii="Times New Roman"/>
                <w:w w:val="99"/>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180" w:right="153"/>
              <w:jc w:val="center"/>
              <w:rPr>
                <w:rFonts w:ascii="Times New Roman"/>
                <w:sz w:val="21"/>
              </w:rPr>
            </w:pPr>
            <w:r>
              <w:rPr>
                <w:rFonts w:ascii="Times New Roman"/>
                <w:sz w:val="21"/>
              </w:rPr>
              <w:t>1050h</w:t>
            </w:r>
          </w:p>
        </w:tc>
        <w:tc>
          <w:tcPr>
            <w:tcW w:w="1790" w:type="dxa"/>
            <w:tcBorders>
              <w:top w:val="single" w:sz="2"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30"/>
              <w:jc w:val="center"/>
              <w:rPr>
                <w:rFonts w:ascii="Times New Roman"/>
                <w:sz w:val="21"/>
              </w:rPr>
            </w:pPr>
            <w:r>
              <w:rPr>
                <w:rFonts w:ascii="Times New Roman"/>
                <w:w w:val="99"/>
                <w:sz w:val="21"/>
              </w:rPr>
              <w:t>/</w:t>
            </w:r>
          </w:p>
        </w:tc>
        <w:tc>
          <w:tcPr>
            <w:tcW w:w="882" w:type="dxa"/>
            <w:tcBorders>
              <w:top w:val="single" w:sz="2"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6"/>
              <w:jc w:val="center"/>
              <w:rPr>
                <w:rFonts w:ascii="Times New Roman"/>
                <w:sz w:val="21"/>
              </w:rPr>
            </w:pPr>
            <w:r>
              <w:rPr>
                <w:rFonts w:ascii="Times New Roman"/>
                <w:w w:val="99"/>
                <w:sz w:val="21"/>
              </w:rPr>
              <w:t>/</w:t>
            </w:r>
          </w:p>
        </w:tc>
        <w:tc>
          <w:tcPr>
            <w:tcW w:w="1108" w:type="dxa"/>
            <w:vMerge/>
            <w:tcBorders>
              <w:top w:val="nil"/>
              <w:left w:val="single" w:sz="4" w:space="0" w:color="000000"/>
              <w:bottom w:val="single" w:sz="4" w:space="0" w:color="000000"/>
              <w:right w:val="nil"/>
            </w:tcBorders>
          </w:tcPr>
          <w:p>
            <w:pPr>
              <w:rPr>
                <w:sz w:val="2"/>
                <w:szCs w:val="2"/>
              </w:rPr>
            </w:pPr>
          </w:p>
        </w:tc>
      </w:tr>
      <w:tr>
        <w:trPr>
          <w:trHeight w:val="1092" w:hRule="atLeast"/>
        </w:trPr>
        <w:tc>
          <w:tcPr>
            <w:tcW w:w="863" w:type="dxa"/>
            <w:tcBorders>
              <w:top w:val="single" w:sz="4" w:space="0" w:color="000000"/>
              <w:left w:val="nil"/>
              <w:bottom w:val="single" w:sz="4" w:space="0" w:color="000000"/>
              <w:right w:val="single" w:sz="4" w:space="0" w:color="000000"/>
            </w:tcBorders>
          </w:tcPr>
          <w:p>
            <w:pPr>
              <w:pStyle w:val="TableParagraph"/>
              <w:rPr>
                <w:b/>
                <w:sz w:val="20"/>
              </w:rPr>
            </w:pPr>
          </w:p>
          <w:p>
            <w:pPr>
              <w:pStyle w:val="TableParagraph"/>
              <w:spacing w:before="154"/>
              <w:ind w:left="212" w:right="186"/>
              <w:jc w:val="center"/>
              <w:rPr>
                <w:sz w:val="21"/>
              </w:rPr>
            </w:pPr>
            <w:r>
              <w:rPr>
                <w:sz w:val="21"/>
              </w:rPr>
              <w:t>废水</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54"/>
              <w:ind w:left="95" w:right="70"/>
              <w:jc w:val="center"/>
              <w:rPr>
                <w:sz w:val="21"/>
              </w:rPr>
            </w:pPr>
            <w:r>
              <w:rPr>
                <w:sz w:val="21"/>
              </w:rPr>
              <w:t>生活污水</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68"/>
              <w:ind w:left="389" w:right="358"/>
              <w:jc w:val="center"/>
              <w:rPr>
                <w:rFonts w:ascii="Times New Roman"/>
                <w:sz w:val="21"/>
              </w:rPr>
            </w:pPr>
            <w:r>
              <w:rPr>
                <w:rFonts w:ascii="Times New Roman"/>
                <w:sz w:val="21"/>
              </w:rPr>
              <w:t>COD </w:t>
            </w:r>
            <w:r>
              <w:rPr>
                <w:rFonts w:ascii="Times New Roman"/>
                <w:position w:val="2"/>
                <w:sz w:val="21"/>
              </w:rPr>
              <w:t>BOD</w:t>
            </w:r>
            <w:r>
              <w:rPr>
                <w:rFonts w:ascii="Times New Roman"/>
                <w:position w:val="2"/>
                <w:sz w:val="21"/>
                <w:vertAlign w:val="subscript"/>
              </w:rPr>
              <w:t>5</w:t>
            </w:r>
            <w:r>
              <w:rPr>
                <w:rFonts w:ascii="Times New Roman"/>
                <w:position w:val="2"/>
                <w:sz w:val="21"/>
                <w:vertAlign w:val="baseline"/>
              </w:rPr>
              <w:t> </w:t>
            </w:r>
            <w:r>
              <w:rPr>
                <w:rFonts w:ascii="Times New Roman"/>
                <w:sz w:val="21"/>
                <w:vertAlign w:val="baseline"/>
              </w:rPr>
              <w:t>SS </w:t>
            </w:r>
            <w:r>
              <w:rPr>
                <w:rFonts w:ascii="Times New Roman"/>
                <w:position w:val="2"/>
                <w:sz w:val="21"/>
                <w:vertAlign w:val="baseline"/>
              </w:rPr>
              <w:t>NH</w:t>
            </w:r>
            <w:r>
              <w:rPr>
                <w:rFonts w:ascii="Times New Roman"/>
                <w:position w:val="2"/>
                <w:sz w:val="21"/>
                <w:vertAlign w:val="subscript"/>
              </w:rPr>
              <w:t>3</w:t>
            </w:r>
            <w:r>
              <w:rPr>
                <w:rFonts w:ascii="Times New Roman"/>
                <w:position w:val="2"/>
                <w:sz w:val="21"/>
                <w:vertAlign w:val="baseline"/>
              </w:rPr>
              <w:t>-N</w:t>
            </w:r>
          </w:p>
        </w:tc>
        <w:tc>
          <w:tcPr>
            <w:tcW w:w="971"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441"/>
              <w:rPr>
                <w:rFonts w:ascii="Times New Roman"/>
                <w:sz w:val="21"/>
              </w:rPr>
            </w:pPr>
            <w:r>
              <w:rPr>
                <w:rFonts w:ascii="Times New Roman"/>
                <w:w w:val="99"/>
                <w:sz w:val="21"/>
              </w:rPr>
              <w:t>0</w:t>
            </w:r>
          </w:p>
        </w:tc>
        <w:tc>
          <w:tcPr>
            <w:tcW w:w="1338"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6"/>
              <w:jc w:val="center"/>
              <w:rPr>
                <w:rFonts w:ascii="Times New Roman"/>
                <w:sz w:val="21"/>
              </w:rPr>
            </w:pPr>
            <w:r>
              <w:rPr>
                <w:rFonts w:ascii="Times New Roman"/>
                <w:w w:val="99"/>
                <w:sz w:val="21"/>
              </w:rPr>
              <w:t>0</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54"/>
              <w:ind w:left="70" w:right="37"/>
              <w:jc w:val="center"/>
              <w:rPr>
                <w:sz w:val="21"/>
              </w:rPr>
            </w:pPr>
            <w:r>
              <w:rPr>
                <w:sz w:val="21"/>
              </w:rPr>
              <w:t>依托砖厂化粪池</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6"/>
              <w:jc w:val="center"/>
              <w:rPr>
                <w:rFonts w:ascii="Times New Roman"/>
                <w:sz w:val="21"/>
              </w:rPr>
            </w:pPr>
            <w:r>
              <w:rPr>
                <w:rFonts w:ascii="Times New Roman"/>
                <w:w w:val="99"/>
                <w:sz w:val="21"/>
              </w:rPr>
              <w:t>/</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30"/>
              <w:jc w:val="center"/>
              <w:rPr>
                <w:rFonts w:ascii="Times New Roman"/>
                <w:sz w:val="21"/>
              </w:rPr>
            </w:pPr>
            <w:r>
              <w:rPr>
                <w:rFonts w:ascii="Times New Roman"/>
                <w:w w:val="99"/>
                <w:sz w:val="21"/>
              </w:rPr>
              <w:t>/</w:t>
            </w:r>
          </w:p>
        </w:tc>
        <w:tc>
          <w:tcPr>
            <w:tcW w:w="882"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6"/>
              <w:jc w:val="center"/>
              <w:rPr>
                <w:rFonts w:ascii="Times New Roman"/>
                <w:sz w:val="21"/>
              </w:rPr>
            </w:pPr>
            <w:r>
              <w:rPr>
                <w:rFonts w:ascii="Times New Roman"/>
                <w:w w:val="99"/>
                <w:sz w:val="21"/>
              </w:rPr>
              <w:t>/</w:t>
            </w:r>
          </w:p>
        </w:tc>
        <w:tc>
          <w:tcPr>
            <w:tcW w:w="1108" w:type="dxa"/>
            <w:tcBorders>
              <w:top w:val="single" w:sz="4" w:space="0" w:color="000000"/>
              <w:left w:val="single" w:sz="4" w:space="0" w:color="000000"/>
              <w:bottom w:val="single" w:sz="4" w:space="0" w:color="000000"/>
              <w:right w:val="nil"/>
            </w:tcBorders>
          </w:tcPr>
          <w:p>
            <w:pPr>
              <w:pStyle w:val="TableParagraph"/>
              <w:spacing w:line="242" w:lineRule="auto" w:before="139"/>
              <w:ind w:left="37" w:right="14"/>
              <w:jc w:val="center"/>
              <w:rPr>
                <w:sz w:val="21"/>
              </w:rPr>
            </w:pPr>
            <w:r>
              <w:rPr>
                <w:sz w:val="21"/>
              </w:rPr>
              <w:t>定期清掏， 用于附近农田施肥</w:t>
            </w:r>
          </w:p>
        </w:tc>
      </w:tr>
      <w:tr>
        <w:trPr>
          <w:trHeight w:val="670" w:hRule="atLeast"/>
        </w:trPr>
        <w:tc>
          <w:tcPr>
            <w:tcW w:w="863" w:type="dxa"/>
            <w:tcBorders>
              <w:top w:val="single" w:sz="4" w:space="0" w:color="000000"/>
              <w:left w:val="nil"/>
              <w:bottom w:val="single" w:sz="4" w:space="0" w:color="000000"/>
              <w:right w:val="single" w:sz="4" w:space="0" w:color="000000"/>
            </w:tcBorders>
          </w:tcPr>
          <w:p>
            <w:pPr>
              <w:pStyle w:val="TableParagraph"/>
              <w:spacing w:before="8"/>
              <w:rPr>
                <w:b/>
                <w:sz w:val="15"/>
              </w:rPr>
            </w:pPr>
          </w:p>
          <w:p>
            <w:pPr>
              <w:pStyle w:val="TableParagraph"/>
              <w:ind w:left="212" w:right="186"/>
              <w:jc w:val="center"/>
              <w:rPr>
                <w:sz w:val="21"/>
              </w:rPr>
            </w:pPr>
            <w:r>
              <w:rPr>
                <w:sz w:val="21"/>
              </w:rPr>
              <w:t>噪声</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36" w:right="-15" w:hanging="521"/>
              <w:rPr>
                <w:sz w:val="21"/>
              </w:rPr>
            </w:pPr>
            <w:r>
              <w:rPr>
                <w:spacing w:val="-3"/>
                <w:sz w:val="21"/>
              </w:rPr>
              <w:t>挖掘机、运输车</w:t>
            </w:r>
            <w:r>
              <w:rPr>
                <w:sz w:val="21"/>
              </w:rPr>
              <w:t>辆等</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382" w:right="358"/>
              <w:jc w:val="center"/>
              <w:rPr>
                <w:sz w:val="21"/>
              </w:rPr>
            </w:pPr>
            <w:r>
              <w:rPr>
                <w:sz w:val="21"/>
              </w:rPr>
              <w:t>噪声</w:t>
            </w:r>
          </w:p>
        </w:tc>
        <w:tc>
          <w:tcPr>
            <w:tcW w:w="23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384"/>
              <w:rPr>
                <w:sz w:val="21"/>
              </w:rPr>
            </w:pPr>
            <w:r>
              <w:rPr>
                <w:sz w:val="21"/>
              </w:rPr>
              <w:t>昼间</w:t>
            </w:r>
            <w:r>
              <w:rPr>
                <w:rFonts w:ascii="Times New Roman" w:hAnsi="Times New Roman" w:eastAsia="Times New Roman"/>
                <w:sz w:val="21"/>
              </w:rPr>
              <w:t>≤60dB</w:t>
            </w:r>
            <w:r>
              <w:rPr>
                <w:sz w:val="21"/>
              </w:rPr>
              <w:t>（</w:t>
            </w:r>
            <w:r>
              <w:rPr>
                <w:rFonts w:ascii="Times New Roman" w:hAnsi="Times New Roman" w:eastAsia="Times New Roman"/>
                <w:sz w:val="21"/>
              </w:rPr>
              <w:t>A</w:t>
            </w:r>
            <w:r>
              <w:rPr>
                <w:sz w:val="21"/>
              </w:rPr>
              <w:t>）</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70" w:right="44"/>
              <w:jc w:val="center"/>
              <w:rPr>
                <w:sz w:val="21"/>
              </w:rPr>
            </w:pPr>
            <w:r>
              <w:rPr>
                <w:sz w:val="21"/>
              </w:rPr>
              <w:t>隔声、减振，距离衰减、加强管理等</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16"/>
              </w:rPr>
            </w:pPr>
          </w:p>
          <w:p>
            <w:pPr>
              <w:pStyle w:val="TableParagraph"/>
              <w:ind w:left="180" w:right="151"/>
              <w:jc w:val="center"/>
              <w:rPr>
                <w:rFonts w:ascii="Times New Roman"/>
                <w:sz w:val="21"/>
              </w:rPr>
            </w:pPr>
            <w:r>
              <w:rPr>
                <w:rFonts w:ascii="Times New Roman"/>
                <w:sz w:val="21"/>
              </w:rPr>
              <w:t>1050</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63"/>
              <w:ind w:left="64" w:right="35"/>
              <w:rPr>
                <w:sz w:val="21"/>
              </w:rPr>
            </w:pPr>
            <w:r>
              <w:rPr>
                <w:sz w:val="21"/>
              </w:rPr>
              <w:t>《工业企业厂界环境噪声排放标准》</w:t>
            </w:r>
          </w:p>
        </w:tc>
        <w:tc>
          <w:tcPr>
            <w:tcW w:w="882"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right="51"/>
              <w:jc w:val="right"/>
              <w:rPr>
                <w:rFonts w:ascii="Times New Roman" w:eastAsia="Times New Roman"/>
                <w:sz w:val="21"/>
              </w:rPr>
            </w:pPr>
            <w:r>
              <w:rPr>
                <w:rFonts w:ascii="Times New Roman" w:eastAsia="Times New Roman"/>
                <w:spacing w:val="-16"/>
                <w:w w:val="99"/>
                <w:sz w:val="21"/>
              </w:rPr>
              <w:t>6</w:t>
            </w:r>
            <w:r>
              <w:rPr>
                <w:rFonts w:ascii="Times New Roman" w:eastAsia="Times New Roman"/>
                <w:spacing w:val="-21"/>
                <w:w w:val="99"/>
                <w:sz w:val="21"/>
              </w:rPr>
              <w:t>0</w:t>
            </w:r>
            <w:r>
              <w:rPr>
                <w:rFonts w:ascii="Times New Roman" w:eastAsia="Times New Roman"/>
                <w:spacing w:val="-19"/>
                <w:w w:val="99"/>
                <w:sz w:val="21"/>
              </w:rPr>
              <w:t>d</w:t>
            </w:r>
            <w:r>
              <w:rPr>
                <w:rFonts w:ascii="Times New Roman" w:eastAsia="Times New Roman"/>
                <w:spacing w:val="-85"/>
                <w:w w:val="99"/>
                <w:sz w:val="21"/>
              </w:rPr>
              <w:t>B</w:t>
            </w:r>
            <w:r>
              <w:rPr>
                <w:spacing w:val="-41"/>
                <w:w w:val="99"/>
                <w:sz w:val="21"/>
              </w:rPr>
              <w:t>（</w:t>
            </w:r>
            <w:r>
              <w:rPr>
                <w:rFonts w:ascii="Times New Roman" w:eastAsia="Times New Roman"/>
                <w:w w:val="99"/>
                <w:sz w:val="21"/>
              </w:rPr>
              <w:t>A</w:t>
            </w:r>
          </w:p>
        </w:tc>
        <w:tc>
          <w:tcPr>
            <w:tcW w:w="1108" w:type="dxa"/>
            <w:tcBorders>
              <w:top w:val="single" w:sz="4" w:space="0" w:color="000000"/>
              <w:left w:val="single" w:sz="4" w:space="0" w:color="000000"/>
              <w:bottom w:val="single" w:sz="4" w:space="0" w:color="000000"/>
              <w:right w:val="nil"/>
            </w:tcBorders>
          </w:tcPr>
          <w:p>
            <w:pPr>
              <w:pStyle w:val="TableParagraph"/>
              <w:spacing w:before="8"/>
              <w:rPr>
                <w:b/>
                <w:sz w:val="15"/>
              </w:rPr>
            </w:pPr>
          </w:p>
          <w:p>
            <w:pPr>
              <w:pStyle w:val="TableParagraph"/>
              <w:ind w:left="248"/>
              <w:rPr>
                <w:sz w:val="21"/>
              </w:rPr>
            </w:pPr>
            <w:r>
              <w:rPr>
                <w:sz w:val="21"/>
              </w:rPr>
              <w:t>声环境</w:t>
            </w:r>
          </w:p>
        </w:tc>
      </w:tr>
      <w:tr>
        <w:trPr>
          <w:trHeight w:val="379" w:hRule="atLeast"/>
        </w:trPr>
        <w:tc>
          <w:tcPr>
            <w:tcW w:w="863" w:type="dxa"/>
            <w:vMerge w:val="restart"/>
            <w:tcBorders>
              <w:top w:val="single" w:sz="4" w:space="0" w:color="000000"/>
              <w:left w:val="nil"/>
              <w:right w:val="single" w:sz="4" w:space="0" w:color="000000"/>
            </w:tcBorders>
          </w:tcPr>
          <w:p>
            <w:pPr>
              <w:pStyle w:val="TableParagraph"/>
              <w:rPr>
                <w:b/>
                <w:sz w:val="20"/>
              </w:rPr>
            </w:pPr>
          </w:p>
          <w:p>
            <w:pPr>
              <w:pStyle w:val="TableParagraph"/>
              <w:ind w:left="233"/>
              <w:rPr>
                <w:sz w:val="21"/>
              </w:rPr>
            </w:pPr>
            <w:r>
              <w:rPr>
                <w:sz w:val="21"/>
              </w:rPr>
              <w:t>固废</w:t>
            </w:r>
          </w:p>
        </w:tc>
        <w:tc>
          <w:tcPr>
            <w:tcW w:w="1477" w:type="dxa"/>
            <w:tcBorders>
              <w:top w:val="single" w:sz="4" w:space="0" w:color="000000"/>
              <w:left w:val="single" w:sz="4" w:space="0" w:color="000000"/>
              <w:bottom w:val="single" w:sz="6" w:space="0" w:color="000000"/>
              <w:right w:val="single" w:sz="4" w:space="0" w:color="000000"/>
            </w:tcBorders>
          </w:tcPr>
          <w:p>
            <w:pPr>
              <w:pStyle w:val="TableParagraph"/>
              <w:spacing w:before="57"/>
              <w:ind w:left="95" w:right="70"/>
              <w:jc w:val="center"/>
              <w:rPr>
                <w:sz w:val="21"/>
              </w:rPr>
            </w:pPr>
            <w:r>
              <w:rPr>
                <w:sz w:val="21"/>
              </w:rPr>
              <w:t>工人人员</w:t>
            </w:r>
          </w:p>
        </w:tc>
        <w:tc>
          <w:tcPr>
            <w:tcW w:w="1392" w:type="dxa"/>
            <w:tcBorders>
              <w:top w:val="single" w:sz="4" w:space="0" w:color="000000"/>
              <w:left w:val="single" w:sz="4" w:space="0" w:color="000000"/>
              <w:bottom w:val="single" w:sz="6" w:space="0" w:color="000000"/>
              <w:right w:val="single" w:sz="4" w:space="0" w:color="000000"/>
            </w:tcBorders>
          </w:tcPr>
          <w:p>
            <w:pPr>
              <w:pStyle w:val="TableParagraph"/>
              <w:spacing w:before="57"/>
              <w:ind w:left="264" w:right="237"/>
              <w:jc w:val="center"/>
              <w:rPr>
                <w:sz w:val="21"/>
              </w:rPr>
            </w:pPr>
            <w:r>
              <w:rPr>
                <w:sz w:val="21"/>
              </w:rPr>
              <w:t>生活垃圾</w:t>
            </w:r>
          </w:p>
        </w:tc>
        <w:tc>
          <w:tcPr>
            <w:tcW w:w="2309" w:type="dxa"/>
            <w:gridSpan w:val="2"/>
            <w:tcBorders>
              <w:top w:val="single" w:sz="4" w:space="0" w:color="000000"/>
              <w:left w:val="single" w:sz="4" w:space="0" w:color="000000"/>
              <w:bottom w:val="single" w:sz="6" w:space="0" w:color="000000"/>
              <w:right w:val="single" w:sz="4" w:space="0" w:color="000000"/>
            </w:tcBorders>
          </w:tcPr>
          <w:p>
            <w:pPr>
              <w:pStyle w:val="TableParagraph"/>
              <w:spacing w:before="71"/>
              <w:ind w:left="819" w:right="791"/>
              <w:jc w:val="center"/>
              <w:rPr>
                <w:rFonts w:ascii="Times New Roman"/>
                <w:sz w:val="21"/>
              </w:rPr>
            </w:pPr>
            <w:r>
              <w:rPr>
                <w:rFonts w:ascii="Times New Roman"/>
                <w:sz w:val="21"/>
              </w:rPr>
              <w:t>0.21t/a</w:t>
            </w:r>
          </w:p>
        </w:tc>
        <w:tc>
          <w:tcPr>
            <w:tcW w:w="3735" w:type="dxa"/>
            <w:tcBorders>
              <w:top w:val="single" w:sz="4" w:space="0" w:color="000000"/>
              <w:left w:val="single" w:sz="4" w:space="0" w:color="000000"/>
              <w:bottom w:val="single" w:sz="6" w:space="0" w:color="000000"/>
              <w:right w:val="single" w:sz="4" w:space="0" w:color="000000"/>
            </w:tcBorders>
          </w:tcPr>
          <w:p>
            <w:pPr>
              <w:pStyle w:val="TableParagraph"/>
              <w:spacing w:before="57"/>
              <w:ind w:left="70" w:right="41"/>
              <w:jc w:val="center"/>
              <w:rPr>
                <w:sz w:val="21"/>
              </w:rPr>
            </w:pPr>
            <w:r>
              <w:rPr>
                <w:spacing w:val="-8"/>
                <w:w w:val="95"/>
                <w:sz w:val="21"/>
              </w:rPr>
              <w:t>垃圾桶收集，清运至生活垃圾填埋场处置</w:t>
            </w:r>
          </w:p>
        </w:tc>
        <w:tc>
          <w:tcPr>
            <w:tcW w:w="909" w:type="dxa"/>
            <w:tcBorders>
              <w:top w:val="single" w:sz="4" w:space="0" w:color="000000"/>
              <w:left w:val="single" w:sz="4" w:space="0" w:color="000000"/>
              <w:bottom w:val="single" w:sz="6" w:space="0" w:color="000000"/>
              <w:right w:val="single" w:sz="4" w:space="0" w:color="000000"/>
            </w:tcBorders>
          </w:tcPr>
          <w:p>
            <w:pPr>
              <w:pStyle w:val="TableParagraph"/>
              <w:spacing w:before="71"/>
              <w:ind w:left="26"/>
              <w:jc w:val="center"/>
              <w:rPr>
                <w:rFonts w:ascii="Times New Roman"/>
                <w:sz w:val="21"/>
              </w:rPr>
            </w:pPr>
            <w:r>
              <w:rPr>
                <w:rFonts w:ascii="Times New Roman"/>
                <w:w w:val="99"/>
                <w:sz w:val="21"/>
              </w:rPr>
              <w:t>/</w:t>
            </w:r>
          </w:p>
        </w:tc>
        <w:tc>
          <w:tcPr>
            <w:tcW w:w="2672" w:type="dxa"/>
            <w:gridSpan w:val="2"/>
            <w:vMerge w:val="restart"/>
            <w:tcBorders>
              <w:top w:val="single" w:sz="4" w:space="0" w:color="000000"/>
              <w:left w:val="single" w:sz="4" w:space="0" w:color="000000"/>
              <w:right w:val="single" w:sz="4" w:space="0" w:color="000000"/>
            </w:tcBorders>
          </w:tcPr>
          <w:p>
            <w:pPr>
              <w:pStyle w:val="TableParagraph"/>
              <w:spacing w:line="242" w:lineRule="auto" w:before="120"/>
              <w:ind w:left="400" w:right="-15" w:hanging="387"/>
              <w:rPr>
                <w:sz w:val="21"/>
              </w:rPr>
            </w:pPr>
            <w:r>
              <w:rPr>
                <w:spacing w:val="-7"/>
                <w:sz w:val="21"/>
              </w:rPr>
              <w:t>《一般工业固体废物贮存、处</w:t>
            </w:r>
            <w:r>
              <w:rPr>
                <w:sz w:val="21"/>
              </w:rPr>
              <w:t>置场污染控制标准》</w:t>
            </w:r>
          </w:p>
        </w:tc>
        <w:tc>
          <w:tcPr>
            <w:tcW w:w="1108" w:type="dxa"/>
            <w:vMerge w:val="restart"/>
            <w:tcBorders>
              <w:top w:val="single" w:sz="4" w:space="0" w:color="000000"/>
              <w:left w:val="single" w:sz="4" w:space="0" w:color="000000"/>
              <w:right w:val="nil"/>
            </w:tcBorders>
          </w:tcPr>
          <w:p>
            <w:pPr>
              <w:pStyle w:val="TableParagraph"/>
              <w:rPr>
                <w:b/>
                <w:sz w:val="20"/>
              </w:rPr>
            </w:pPr>
          </w:p>
          <w:p>
            <w:pPr>
              <w:pStyle w:val="TableParagraph"/>
              <w:ind w:left="248"/>
              <w:rPr>
                <w:sz w:val="21"/>
              </w:rPr>
            </w:pPr>
            <w:r>
              <w:rPr>
                <w:sz w:val="21"/>
              </w:rPr>
              <w:t>不外排</w:t>
            </w:r>
          </w:p>
        </w:tc>
      </w:tr>
      <w:tr>
        <w:trPr>
          <w:trHeight w:val="374" w:hRule="atLeast"/>
        </w:trPr>
        <w:tc>
          <w:tcPr>
            <w:tcW w:w="863" w:type="dxa"/>
            <w:vMerge/>
            <w:tcBorders>
              <w:top w:val="nil"/>
              <w:left w:val="nil"/>
              <w:right w:val="single" w:sz="4" w:space="0" w:color="000000"/>
            </w:tcBorders>
          </w:tcPr>
          <w:p>
            <w:pPr>
              <w:rPr>
                <w:sz w:val="2"/>
                <w:szCs w:val="2"/>
              </w:rPr>
            </w:pPr>
          </w:p>
        </w:tc>
        <w:tc>
          <w:tcPr>
            <w:tcW w:w="1477" w:type="dxa"/>
            <w:tcBorders>
              <w:top w:val="single" w:sz="6" w:space="0" w:color="000000"/>
              <w:left w:val="single" w:sz="4" w:space="0" w:color="000000"/>
              <w:right w:val="single" w:sz="4" w:space="0" w:color="000000"/>
            </w:tcBorders>
          </w:tcPr>
          <w:p>
            <w:pPr>
              <w:pStyle w:val="TableParagraph"/>
              <w:spacing w:before="71"/>
              <w:ind w:left="95" w:right="72"/>
              <w:jc w:val="center"/>
              <w:rPr>
                <w:sz w:val="21"/>
              </w:rPr>
            </w:pPr>
            <w:r>
              <w:rPr>
                <w:sz w:val="21"/>
              </w:rPr>
              <w:t>表土</w:t>
            </w:r>
          </w:p>
        </w:tc>
        <w:tc>
          <w:tcPr>
            <w:tcW w:w="1392" w:type="dxa"/>
            <w:tcBorders>
              <w:top w:val="single" w:sz="6" w:space="0" w:color="000000"/>
              <w:left w:val="single" w:sz="4" w:space="0" w:color="000000"/>
              <w:right w:val="single" w:sz="4" w:space="0" w:color="000000"/>
            </w:tcBorders>
          </w:tcPr>
          <w:p>
            <w:pPr>
              <w:pStyle w:val="TableParagraph"/>
              <w:spacing w:before="47"/>
              <w:ind w:left="264" w:right="237"/>
              <w:jc w:val="center"/>
              <w:rPr>
                <w:sz w:val="21"/>
              </w:rPr>
            </w:pPr>
            <w:r>
              <w:rPr>
                <w:sz w:val="21"/>
              </w:rPr>
              <w:t>表土堆场</w:t>
            </w:r>
          </w:p>
        </w:tc>
        <w:tc>
          <w:tcPr>
            <w:tcW w:w="2309" w:type="dxa"/>
            <w:gridSpan w:val="2"/>
            <w:tcBorders>
              <w:top w:val="single" w:sz="6" w:space="0" w:color="000000"/>
              <w:left w:val="single" w:sz="4" w:space="0" w:color="000000"/>
              <w:right w:val="single" w:sz="4" w:space="0" w:color="000000"/>
            </w:tcBorders>
          </w:tcPr>
          <w:p>
            <w:pPr>
              <w:pStyle w:val="TableParagraph"/>
              <w:spacing w:before="63"/>
              <w:ind w:left="819" w:right="791"/>
              <w:jc w:val="center"/>
              <w:rPr>
                <w:rFonts w:ascii="Times New Roman"/>
                <w:sz w:val="13"/>
              </w:rPr>
            </w:pPr>
            <w:r>
              <w:rPr>
                <w:rFonts w:ascii="Times New Roman"/>
                <w:sz w:val="21"/>
              </w:rPr>
              <w:t>1400m</w:t>
            </w:r>
            <w:r>
              <w:rPr>
                <w:rFonts w:ascii="Times New Roman"/>
                <w:position w:val="7"/>
                <w:sz w:val="13"/>
              </w:rPr>
              <w:t>3</w:t>
            </w:r>
          </w:p>
        </w:tc>
        <w:tc>
          <w:tcPr>
            <w:tcW w:w="3735" w:type="dxa"/>
            <w:tcBorders>
              <w:top w:val="single" w:sz="6" w:space="0" w:color="000000"/>
              <w:left w:val="single" w:sz="4" w:space="0" w:color="000000"/>
              <w:right w:val="single" w:sz="4" w:space="0" w:color="000000"/>
            </w:tcBorders>
          </w:tcPr>
          <w:p>
            <w:pPr>
              <w:pStyle w:val="TableParagraph"/>
              <w:spacing w:before="47"/>
              <w:ind w:left="70" w:right="42"/>
              <w:jc w:val="center"/>
              <w:rPr>
                <w:sz w:val="21"/>
              </w:rPr>
            </w:pPr>
            <w:r>
              <w:rPr>
                <w:sz w:val="21"/>
              </w:rPr>
              <w:t>喷淋设施，压实</w:t>
            </w:r>
          </w:p>
        </w:tc>
        <w:tc>
          <w:tcPr>
            <w:tcW w:w="909" w:type="dxa"/>
            <w:tcBorders>
              <w:top w:val="single" w:sz="6" w:space="0" w:color="000000"/>
              <w:left w:val="single" w:sz="4" w:space="0" w:color="000000"/>
              <w:right w:val="single" w:sz="4" w:space="0" w:color="000000"/>
            </w:tcBorders>
          </w:tcPr>
          <w:p>
            <w:pPr>
              <w:pStyle w:val="TableParagraph"/>
              <w:spacing w:before="63"/>
              <w:ind w:left="26"/>
              <w:jc w:val="center"/>
              <w:rPr>
                <w:rFonts w:ascii="Times New Roman"/>
                <w:sz w:val="21"/>
              </w:rPr>
            </w:pPr>
            <w:r>
              <w:rPr>
                <w:rFonts w:ascii="Times New Roman"/>
                <w:w w:val="99"/>
                <w:sz w:val="21"/>
              </w:rPr>
              <w:t>/</w:t>
            </w:r>
          </w:p>
        </w:tc>
        <w:tc>
          <w:tcPr>
            <w:tcW w:w="2672" w:type="dxa"/>
            <w:gridSpan w:val="2"/>
            <w:vMerge/>
            <w:tcBorders>
              <w:top w:val="nil"/>
              <w:left w:val="single" w:sz="4" w:space="0" w:color="000000"/>
              <w:right w:val="single" w:sz="4" w:space="0" w:color="000000"/>
            </w:tcBorders>
          </w:tcPr>
          <w:p>
            <w:pPr>
              <w:rPr>
                <w:sz w:val="2"/>
                <w:szCs w:val="2"/>
              </w:rPr>
            </w:pPr>
          </w:p>
        </w:tc>
        <w:tc>
          <w:tcPr>
            <w:tcW w:w="1108" w:type="dxa"/>
            <w:vMerge/>
            <w:tcBorders>
              <w:top w:val="nil"/>
              <w:left w:val="single" w:sz="4" w:space="0" w:color="000000"/>
              <w:right w:val="nil"/>
            </w:tcBorders>
          </w:tcPr>
          <w:p>
            <w:pPr>
              <w:rPr>
                <w:sz w:val="2"/>
                <w:szCs w:val="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p>
    <w:p>
      <w:pPr>
        <w:spacing w:before="92"/>
        <w:ind w:left="7075" w:right="7445" w:firstLine="0"/>
        <w:jc w:val="center"/>
        <w:rPr>
          <w:rFonts w:ascii="Times New Roman"/>
          <w:sz w:val="18"/>
        </w:rPr>
      </w:pPr>
      <w:r>
        <w:rPr>
          <w:rFonts w:ascii="Times New Roman"/>
          <w:sz w:val="18"/>
        </w:rPr>
        <w:t>28</w:t>
      </w:r>
    </w:p>
    <w:p>
      <w:pPr>
        <w:spacing w:after="0"/>
        <w:jc w:val="center"/>
        <w:rPr>
          <w:rFonts w:ascii="Times New Roman"/>
          <w:sz w:val="18"/>
        </w:rPr>
        <w:sectPr>
          <w:footerReference w:type="default" r:id="rId12"/>
          <w:pgSz w:w="16840" w:h="11910" w:orient="landscape"/>
          <w:pgMar w:footer="0" w:header="0" w:top="1100" w:bottom="280" w:left="1000" w:right="1100"/>
        </w:sectPr>
      </w:pPr>
    </w:p>
    <w:p>
      <w:pPr>
        <w:pStyle w:val="Heading1"/>
        <w:numPr>
          <w:ilvl w:val="0"/>
          <w:numId w:val="2"/>
        </w:numPr>
        <w:tabs>
          <w:tab w:pos="337" w:val="left" w:leader="none"/>
        </w:tabs>
        <w:spacing w:line="240" w:lineRule="auto" w:before="60" w:after="0"/>
        <w:ind w:left="336" w:right="0" w:hanging="210"/>
        <w:jc w:val="left"/>
      </w:pPr>
      <w:r>
        <w:rPr/>
        <w:pict>
          <v:line style="position:absolute;mso-position-horizontal-relative:page;mso-position-vertical-relative:paragraph;z-index:-256961536" from="61.450001pt,28.47998pt" to="113.850001pt,74.72998pt" stroked="true" strokeweight=".5pt" strokecolor="#000000">
            <v:stroke dashstyle="solid"/>
            <w10:wrap type="none"/>
          </v:line>
        </w:pict>
      </w:r>
      <w:bookmarkStart w:name="8拟采取的防治措施及预期治理效果" w:id="51"/>
      <w:bookmarkEnd w:id="51"/>
      <w:r>
        <w:rPr/>
      </w:r>
      <w:bookmarkStart w:name="_bookmark15" w:id="52"/>
      <w:bookmarkEnd w:id="52"/>
      <w:r>
        <w:rPr/>
      </w:r>
      <w:bookmarkStart w:name="_bookmark15" w:id="53"/>
      <w:bookmarkEnd w:id="53"/>
      <w:r>
        <w:rPr>
          <w:spacing w:val="-3"/>
        </w:rPr>
        <w:t>拟采取的防治措施及预期治理效果</w:t>
      </w:r>
    </w:p>
    <w:p>
      <w:pPr>
        <w:pStyle w:val="BodyText"/>
        <w:spacing w:before="5"/>
        <w:rPr>
          <w:rFonts w:ascii="黑体"/>
          <w:sz w:val="10"/>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53"/>
        <w:gridCol w:w="1326"/>
        <w:gridCol w:w="1545"/>
        <w:gridCol w:w="4200"/>
        <w:gridCol w:w="1443"/>
      </w:tblGrid>
      <w:tr>
        <w:trPr>
          <w:trHeight w:val="920" w:hRule="atLeast"/>
        </w:trPr>
        <w:tc>
          <w:tcPr>
            <w:tcW w:w="1053" w:type="dxa"/>
            <w:tcBorders>
              <w:left w:val="single" w:sz="4" w:space="0" w:color="000000"/>
              <w:bottom w:val="single" w:sz="4" w:space="0" w:color="000000"/>
              <w:right w:val="single" w:sz="4" w:space="0" w:color="000000"/>
            </w:tcBorders>
          </w:tcPr>
          <w:p>
            <w:pPr>
              <w:pStyle w:val="TableParagraph"/>
              <w:spacing w:line="312" w:lineRule="auto" w:before="80"/>
              <w:ind w:left="108" w:right="212" w:firstLine="240"/>
              <w:rPr>
                <w:rFonts w:ascii="黑体" w:eastAsia="黑体" w:hint="eastAsia"/>
                <w:sz w:val="24"/>
              </w:rPr>
            </w:pPr>
            <w:r>
              <w:rPr>
                <w:rFonts w:ascii="黑体" w:eastAsia="黑体" w:hint="eastAsia"/>
                <w:sz w:val="24"/>
              </w:rPr>
              <w:t>内容类型</w:t>
            </w:r>
          </w:p>
        </w:tc>
        <w:tc>
          <w:tcPr>
            <w:tcW w:w="1326" w:type="dxa"/>
            <w:tcBorders>
              <w:left w:val="single" w:sz="4" w:space="0" w:color="000000"/>
              <w:bottom w:val="single" w:sz="4" w:space="0" w:color="000000"/>
              <w:right w:val="single" w:sz="4" w:space="0" w:color="000000"/>
            </w:tcBorders>
          </w:tcPr>
          <w:p>
            <w:pPr>
              <w:pStyle w:val="TableParagraph"/>
              <w:spacing w:before="3"/>
              <w:rPr>
                <w:rFonts w:ascii="黑体"/>
                <w:sz w:val="24"/>
              </w:rPr>
            </w:pPr>
          </w:p>
          <w:p>
            <w:pPr>
              <w:pStyle w:val="TableParagraph"/>
              <w:ind w:left="111" w:right="101"/>
              <w:jc w:val="center"/>
              <w:rPr>
                <w:rFonts w:ascii="黑体" w:eastAsia="黑体" w:hint="eastAsia"/>
                <w:sz w:val="24"/>
              </w:rPr>
            </w:pPr>
            <w:r>
              <w:rPr>
                <w:rFonts w:ascii="黑体" w:eastAsia="黑体" w:hint="eastAsia"/>
                <w:sz w:val="24"/>
              </w:rPr>
              <w:t>排放源</w:t>
            </w:r>
          </w:p>
        </w:tc>
        <w:tc>
          <w:tcPr>
            <w:tcW w:w="1545" w:type="dxa"/>
            <w:tcBorders>
              <w:left w:val="single" w:sz="4" w:space="0" w:color="000000"/>
              <w:bottom w:val="single" w:sz="4" w:space="0" w:color="000000"/>
              <w:right w:val="single" w:sz="4" w:space="0" w:color="000000"/>
            </w:tcBorders>
          </w:tcPr>
          <w:p>
            <w:pPr>
              <w:pStyle w:val="TableParagraph"/>
              <w:spacing w:line="235" w:lineRule="auto" w:before="167"/>
              <w:ind w:left="532" w:right="400" w:hanging="120"/>
              <w:rPr>
                <w:rFonts w:ascii="黑体" w:eastAsia="黑体" w:hint="eastAsia"/>
                <w:sz w:val="24"/>
              </w:rPr>
            </w:pPr>
            <w:r>
              <w:rPr>
                <w:rFonts w:ascii="黑体" w:eastAsia="黑体" w:hint="eastAsia"/>
                <w:sz w:val="24"/>
              </w:rPr>
              <w:t>污染物名称</w:t>
            </w:r>
          </w:p>
        </w:tc>
        <w:tc>
          <w:tcPr>
            <w:tcW w:w="4200" w:type="dxa"/>
            <w:tcBorders>
              <w:left w:val="single" w:sz="4" w:space="0" w:color="000000"/>
              <w:bottom w:val="single" w:sz="4" w:space="0" w:color="000000"/>
              <w:right w:val="single" w:sz="4" w:space="0" w:color="000000"/>
            </w:tcBorders>
          </w:tcPr>
          <w:p>
            <w:pPr>
              <w:pStyle w:val="TableParagraph"/>
              <w:spacing w:before="3"/>
              <w:rPr>
                <w:rFonts w:ascii="黑体"/>
                <w:sz w:val="24"/>
              </w:rPr>
            </w:pPr>
          </w:p>
          <w:p>
            <w:pPr>
              <w:pStyle w:val="TableParagraph"/>
              <w:ind w:left="1480" w:right="1470"/>
              <w:jc w:val="center"/>
              <w:rPr>
                <w:rFonts w:ascii="黑体" w:eastAsia="黑体" w:hint="eastAsia"/>
                <w:sz w:val="24"/>
              </w:rPr>
            </w:pPr>
            <w:r>
              <w:rPr>
                <w:rFonts w:ascii="黑体" w:eastAsia="黑体" w:hint="eastAsia"/>
                <w:sz w:val="24"/>
              </w:rPr>
              <w:t>防治措施</w:t>
            </w:r>
          </w:p>
        </w:tc>
        <w:tc>
          <w:tcPr>
            <w:tcW w:w="1443" w:type="dxa"/>
            <w:tcBorders>
              <w:left w:val="single" w:sz="4" w:space="0" w:color="000000"/>
              <w:bottom w:val="single" w:sz="4" w:space="0" w:color="000000"/>
              <w:right w:val="single" w:sz="4" w:space="0" w:color="000000"/>
            </w:tcBorders>
          </w:tcPr>
          <w:p>
            <w:pPr>
              <w:pStyle w:val="TableParagraph"/>
              <w:spacing w:line="235" w:lineRule="auto" w:before="167"/>
              <w:ind w:left="480" w:right="230" w:hanging="240"/>
              <w:rPr>
                <w:rFonts w:ascii="黑体" w:eastAsia="黑体" w:hint="eastAsia"/>
                <w:sz w:val="24"/>
              </w:rPr>
            </w:pPr>
            <w:r>
              <w:rPr>
                <w:rFonts w:ascii="黑体" w:eastAsia="黑体" w:hint="eastAsia"/>
                <w:sz w:val="24"/>
              </w:rPr>
              <w:t>预期治理效果</w:t>
            </w:r>
          </w:p>
        </w:tc>
      </w:tr>
      <w:tr>
        <w:trPr>
          <w:trHeight w:val="387" w:hRule="atLeast"/>
        </w:trPr>
        <w:tc>
          <w:tcPr>
            <w:tcW w:w="105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rPr>
                <w:rFonts w:ascii="黑体"/>
                <w:sz w:val="20"/>
              </w:rPr>
            </w:pPr>
          </w:p>
          <w:p>
            <w:pPr>
              <w:pStyle w:val="TableParagraph"/>
              <w:spacing w:line="280" w:lineRule="auto"/>
              <w:ind w:left="165" w:right="155" w:firstLine="120"/>
              <w:rPr>
                <w:rFonts w:ascii="黑体" w:eastAsia="黑体" w:hint="eastAsia"/>
                <w:sz w:val="24"/>
              </w:rPr>
            </w:pPr>
            <w:r>
              <w:rPr>
                <w:rFonts w:ascii="黑体" w:eastAsia="黑体" w:hint="eastAsia"/>
                <w:sz w:val="24"/>
              </w:rPr>
              <w:t>大气污染物</w:t>
            </w: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ight="101"/>
              <w:jc w:val="center"/>
              <w:rPr>
                <w:sz w:val="24"/>
              </w:rPr>
            </w:pPr>
            <w:r>
              <w:rPr>
                <w:sz w:val="24"/>
              </w:rPr>
              <w:t>开采粉尘</w:t>
            </w:r>
          </w:p>
        </w:tc>
        <w:tc>
          <w:tcPr>
            <w:tcW w:w="154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5"/>
              <w:rPr>
                <w:rFonts w:ascii="黑体"/>
                <w:sz w:val="31"/>
              </w:rPr>
            </w:pPr>
          </w:p>
          <w:p>
            <w:pPr>
              <w:pStyle w:val="TableParagraph"/>
              <w:spacing w:before="1"/>
              <w:ind w:left="81" w:right="72"/>
              <w:jc w:val="center"/>
              <w:rPr>
                <w:sz w:val="24"/>
              </w:rPr>
            </w:pPr>
            <w:r>
              <w:rPr>
                <w:sz w:val="24"/>
              </w:rPr>
              <w:t>粉尘</w:t>
            </w: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before="38"/>
              <w:ind w:left="1480" w:right="1470"/>
              <w:jc w:val="center"/>
              <w:rPr>
                <w:sz w:val="24"/>
              </w:rPr>
            </w:pPr>
            <w:r>
              <w:rPr>
                <w:sz w:val="24"/>
              </w:rPr>
              <w:t>喷淋洒水</w:t>
            </w:r>
          </w:p>
        </w:tc>
        <w:tc>
          <w:tcPr>
            <w:tcW w:w="1443" w:type="dxa"/>
            <w:vMerge w:val="restart"/>
            <w:tcBorders>
              <w:top w:val="single" w:sz="4" w:space="0" w:color="000000"/>
              <w:left w:val="single" w:sz="4" w:space="0" w:color="000000"/>
              <w:bottom w:val="single" w:sz="2" w:space="0" w:color="000000"/>
              <w:right w:val="single" w:sz="4" w:space="0" w:color="000000"/>
            </w:tcBorders>
          </w:tcPr>
          <w:p>
            <w:pPr>
              <w:pStyle w:val="TableParagraph"/>
              <w:spacing w:line="280" w:lineRule="auto" w:before="194"/>
              <w:ind w:left="120" w:right="110"/>
              <w:jc w:val="both"/>
              <w:rPr>
                <w:sz w:val="24"/>
              </w:rPr>
            </w:pPr>
            <w:r>
              <w:rPr>
                <w:sz w:val="24"/>
              </w:rPr>
              <w:t>满足《大气污染物综合排放标准》二级标准</w:t>
            </w:r>
          </w:p>
        </w:tc>
      </w:tr>
      <w:tr>
        <w:trPr>
          <w:trHeight w:val="692"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196"/>
              <w:ind w:left="60" w:right="153"/>
              <w:jc w:val="center"/>
              <w:rPr>
                <w:sz w:val="24"/>
              </w:rPr>
            </w:pPr>
            <w:r>
              <w:rPr>
                <w:sz w:val="24"/>
              </w:rPr>
              <w:t>装卸作业</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before="191"/>
              <w:ind w:left="300"/>
              <w:rPr>
                <w:sz w:val="24"/>
              </w:rPr>
            </w:pPr>
            <w:r>
              <w:rPr>
                <w:sz w:val="24"/>
              </w:rPr>
              <w:t>增加采场洒水降尘次数、加强管理</w:t>
            </w:r>
          </w:p>
        </w:tc>
        <w:tc>
          <w:tcPr>
            <w:tcW w:w="1443" w:type="dxa"/>
            <w:vMerge/>
            <w:tcBorders>
              <w:top w:val="nil"/>
              <w:left w:val="single" w:sz="4" w:space="0" w:color="000000"/>
              <w:bottom w:val="single" w:sz="2" w:space="0" w:color="000000"/>
              <w:right w:val="single" w:sz="4" w:space="0" w:color="000000"/>
            </w:tcBorders>
          </w:tcPr>
          <w:p>
            <w:pPr>
              <w:rPr>
                <w:sz w:val="2"/>
                <w:szCs w:val="2"/>
              </w:rPr>
            </w:pPr>
          </w:p>
        </w:tc>
      </w:tr>
      <w:tr>
        <w:trPr>
          <w:trHeight w:val="310"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line="288" w:lineRule="exact" w:before="2"/>
              <w:ind w:left="111" w:right="101"/>
              <w:jc w:val="center"/>
              <w:rPr>
                <w:sz w:val="24"/>
              </w:rPr>
            </w:pPr>
            <w:r>
              <w:rPr>
                <w:sz w:val="24"/>
              </w:rPr>
              <w:t>运输扬尘</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line="288" w:lineRule="exact" w:before="2"/>
              <w:ind w:left="108"/>
              <w:rPr>
                <w:sz w:val="24"/>
              </w:rPr>
            </w:pPr>
            <w:r>
              <w:rPr>
                <w:sz w:val="24"/>
              </w:rPr>
              <w:t>道路采取压实、道路洒水、车辆限速等</w:t>
            </w:r>
          </w:p>
        </w:tc>
        <w:tc>
          <w:tcPr>
            <w:tcW w:w="1443" w:type="dxa"/>
            <w:vMerge/>
            <w:tcBorders>
              <w:top w:val="nil"/>
              <w:left w:val="single" w:sz="4" w:space="0" w:color="000000"/>
              <w:bottom w:val="single" w:sz="2" w:space="0" w:color="000000"/>
              <w:right w:val="single" w:sz="4" w:space="0" w:color="000000"/>
            </w:tcBorders>
          </w:tcPr>
          <w:p>
            <w:pPr>
              <w:rPr>
                <w:sz w:val="2"/>
                <w:szCs w:val="2"/>
              </w:rPr>
            </w:pPr>
          </w:p>
        </w:tc>
      </w:tr>
      <w:tr>
        <w:trPr>
          <w:trHeight w:val="309"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line="289" w:lineRule="exact" w:before="1"/>
              <w:ind w:left="111" w:right="101"/>
              <w:jc w:val="center"/>
              <w:rPr>
                <w:sz w:val="24"/>
              </w:rPr>
            </w:pPr>
            <w:r>
              <w:rPr>
                <w:sz w:val="24"/>
              </w:rPr>
              <w:t>表土堆放</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00" w:type="dxa"/>
            <w:tcBorders>
              <w:top w:val="single" w:sz="4" w:space="0" w:color="000000"/>
              <w:left w:val="single" w:sz="4" w:space="0" w:color="000000"/>
              <w:bottom w:val="single" w:sz="2" w:space="0" w:color="000000"/>
              <w:right w:val="single" w:sz="4" w:space="0" w:color="000000"/>
            </w:tcBorders>
          </w:tcPr>
          <w:p>
            <w:pPr>
              <w:pStyle w:val="TableParagraph"/>
              <w:spacing w:line="289" w:lineRule="exact" w:before="1"/>
              <w:ind w:left="1480" w:right="1470"/>
              <w:jc w:val="center"/>
              <w:rPr>
                <w:sz w:val="24"/>
              </w:rPr>
            </w:pPr>
            <w:r>
              <w:rPr>
                <w:sz w:val="24"/>
              </w:rPr>
              <w:t>洒水，覆盖</w:t>
            </w:r>
          </w:p>
        </w:tc>
        <w:tc>
          <w:tcPr>
            <w:tcW w:w="1443" w:type="dxa"/>
            <w:vMerge/>
            <w:tcBorders>
              <w:top w:val="nil"/>
              <w:left w:val="single" w:sz="4" w:space="0" w:color="000000"/>
              <w:bottom w:val="single" w:sz="2" w:space="0" w:color="000000"/>
              <w:right w:val="single" w:sz="4" w:space="0" w:color="000000"/>
            </w:tcBorders>
          </w:tcPr>
          <w:p>
            <w:pPr>
              <w:rPr>
                <w:sz w:val="2"/>
                <w:szCs w:val="2"/>
              </w:rPr>
            </w:pPr>
          </w:p>
        </w:tc>
      </w:tr>
      <w:tr>
        <w:trPr>
          <w:trHeight w:val="624"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159"/>
              <w:ind w:left="111" w:right="101"/>
              <w:jc w:val="center"/>
              <w:rPr>
                <w:sz w:val="24"/>
              </w:rPr>
            </w:pPr>
            <w:r>
              <w:rPr>
                <w:sz w:val="24"/>
              </w:rPr>
              <w:t>机械废气</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3"/>
              <w:ind w:left="81" w:right="72"/>
              <w:jc w:val="center"/>
              <w:rPr>
                <w:sz w:val="24"/>
              </w:rPr>
            </w:pPr>
            <w:r>
              <w:rPr>
                <w:rFonts w:ascii="Times New Roman" w:eastAsia="Times New Roman"/>
                <w:sz w:val="24"/>
              </w:rPr>
              <w:t>NOx</w:t>
            </w:r>
            <w:r>
              <w:rPr>
                <w:sz w:val="24"/>
              </w:rPr>
              <w:t>、</w:t>
            </w:r>
            <w:r>
              <w:rPr>
                <w:rFonts w:ascii="Times New Roman" w:eastAsia="Times New Roman"/>
                <w:sz w:val="24"/>
              </w:rPr>
              <w:t>CO </w:t>
            </w:r>
            <w:r>
              <w:rPr>
                <w:sz w:val="24"/>
              </w:rPr>
              <w:t>和</w:t>
            </w:r>
          </w:p>
          <w:p>
            <w:pPr>
              <w:pStyle w:val="TableParagraph"/>
              <w:spacing w:line="289" w:lineRule="exact" w:before="4"/>
              <w:ind w:left="81" w:right="72"/>
              <w:jc w:val="center"/>
              <w:rPr>
                <w:sz w:val="24"/>
              </w:rPr>
            </w:pPr>
            <w:r>
              <w:rPr>
                <w:sz w:val="24"/>
              </w:rPr>
              <w:t>颗粒物</w:t>
            </w:r>
          </w:p>
        </w:tc>
        <w:tc>
          <w:tcPr>
            <w:tcW w:w="4200" w:type="dxa"/>
            <w:tcBorders>
              <w:top w:val="single" w:sz="2" w:space="0" w:color="000000"/>
              <w:left w:val="single" w:sz="4" w:space="0" w:color="000000"/>
              <w:bottom w:val="single" w:sz="4" w:space="0" w:color="000000"/>
              <w:right w:val="single" w:sz="4" w:space="0" w:color="000000"/>
            </w:tcBorders>
          </w:tcPr>
          <w:p>
            <w:pPr>
              <w:pStyle w:val="TableParagraph"/>
              <w:spacing w:before="175"/>
              <w:ind w:left="9"/>
              <w:jc w:val="center"/>
              <w:rPr>
                <w:rFonts w:ascii="Times New Roman"/>
                <w:sz w:val="24"/>
              </w:rPr>
            </w:pPr>
            <w:r>
              <w:rPr>
                <w:rFonts w:ascii="Times New Roman"/>
                <w:sz w:val="24"/>
              </w:rPr>
              <w:t>/</w:t>
            </w:r>
          </w:p>
        </w:tc>
        <w:tc>
          <w:tcPr>
            <w:tcW w:w="1443" w:type="dxa"/>
            <w:tcBorders>
              <w:top w:val="single" w:sz="2" w:space="0" w:color="000000"/>
              <w:left w:val="single" w:sz="4" w:space="0" w:color="000000"/>
              <w:bottom w:val="single" w:sz="4" w:space="0" w:color="000000"/>
              <w:right w:val="single" w:sz="4" w:space="0" w:color="000000"/>
            </w:tcBorders>
          </w:tcPr>
          <w:p>
            <w:pPr>
              <w:pStyle w:val="TableParagraph"/>
              <w:spacing w:before="196"/>
              <w:ind w:left="6"/>
              <w:jc w:val="center"/>
              <w:rPr>
                <w:rFonts w:ascii="Times New Roman"/>
                <w:sz w:val="24"/>
              </w:rPr>
            </w:pPr>
            <w:r>
              <w:rPr>
                <w:rFonts w:ascii="Times New Roman"/>
                <w:sz w:val="24"/>
              </w:rPr>
              <w:t>/</w:t>
            </w:r>
          </w:p>
        </w:tc>
      </w:tr>
      <w:tr>
        <w:trPr>
          <w:trHeight w:val="840" w:hRule="atLeast"/>
        </w:trPr>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360" w:lineRule="atLeast" w:before="57"/>
              <w:ind w:left="285" w:right="275"/>
              <w:rPr>
                <w:rFonts w:ascii="黑体" w:eastAsia="黑体" w:hint="eastAsia"/>
                <w:sz w:val="24"/>
              </w:rPr>
            </w:pPr>
            <w:r>
              <w:rPr>
                <w:rFonts w:ascii="黑体" w:eastAsia="黑体" w:hint="eastAsia"/>
                <w:sz w:val="24"/>
              </w:rPr>
              <w:t>水污染物</w:t>
            </w: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0"/>
              </w:rPr>
            </w:pPr>
          </w:p>
          <w:p>
            <w:pPr>
              <w:pStyle w:val="TableParagraph"/>
              <w:spacing w:before="1"/>
              <w:ind w:left="111" w:right="101"/>
              <w:jc w:val="center"/>
              <w:rPr>
                <w:sz w:val="24"/>
              </w:rPr>
            </w:pPr>
            <w:r>
              <w:rPr>
                <w:sz w:val="24"/>
              </w:rPr>
              <w:t>生活污水</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ind w:left="79" w:right="72"/>
              <w:jc w:val="center"/>
              <w:rPr>
                <w:sz w:val="24"/>
              </w:rPr>
            </w:pPr>
            <w:r>
              <w:rPr>
                <w:rFonts w:ascii="Times New Roman" w:eastAsia="Times New Roman"/>
                <w:spacing w:val="-1"/>
                <w:sz w:val="24"/>
              </w:rPr>
              <w:t>COD</w:t>
            </w:r>
            <w:r>
              <w:rPr>
                <w:sz w:val="24"/>
              </w:rPr>
              <w:t>、</w:t>
            </w:r>
          </w:p>
          <w:p>
            <w:pPr>
              <w:pStyle w:val="TableParagraph"/>
              <w:spacing w:line="278" w:lineRule="exact" w:before="22"/>
              <w:ind w:left="107" w:right="93"/>
              <w:jc w:val="center"/>
              <w:rPr>
                <w:rFonts w:ascii="Times New Roman" w:eastAsia="Times New Roman"/>
                <w:sz w:val="24"/>
              </w:rPr>
            </w:pPr>
            <w:r>
              <w:rPr>
                <w:rFonts w:ascii="Times New Roman" w:eastAsia="Times New Roman"/>
                <w:position w:val="2"/>
                <w:sz w:val="24"/>
              </w:rPr>
              <w:t>BOD</w:t>
            </w:r>
            <w:r>
              <w:rPr>
                <w:rFonts w:ascii="Times New Roman" w:eastAsia="Times New Roman"/>
                <w:position w:val="2"/>
                <w:sz w:val="24"/>
                <w:vertAlign w:val="subscript"/>
              </w:rPr>
              <w:t>5</w:t>
            </w:r>
            <w:r>
              <w:rPr>
                <w:position w:val="2"/>
                <w:sz w:val="24"/>
                <w:vertAlign w:val="baseline"/>
              </w:rPr>
              <w:t>、</w:t>
            </w:r>
            <w:r>
              <w:rPr>
                <w:rFonts w:ascii="Times New Roman" w:eastAsia="Times New Roman"/>
                <w:position w:val="2"/>
                <w:sz w:val="24"/>
                <w:vertAlign w:val="baseline"/>
              </w:rPr>
              <w:t>SS</w:t>
            </w:r>
            <w:r>
              <w:rPr>
                <w:spacing w:val="-17"/>
                <w:position w:val="2"/>
                <w:sz w:val="24"/>
                <w:vertAlign w:val="baseline"/>
              </w:rPr>
              <w:t>、</w:t>
            </w:r>
            <w:r>
              <w:rPr>
                <w:rFonts w:ascii="Times New Roman" w:eastAsia="Times New Roman"/>
                <w:position w:val="2"/>
                <w:sz w:val="24"/>
                <w:vertAlign w:val="baseline"/>
              </w:rPr>
              <w:t>NH</w:t>
            </w:r>
            <w:r>
              <w:rPr>
                <w:rFonts w:ascii="Times New Roman" w:eastAsia="Times New Roman"/>
                <w:position w:val="2"/>
                <w:sz w:val="24"/>
                <w:vertAlign w:val="subscript"/>
              </w:rPr>
              <w:t>3</w:t>
            </w:r>
            <w:r>
              <w:rPr>
                <w:rFonts w:ascii="Times New Roman" w:eastAsia="Times New Roman"/>
                <w:position w:val="2"/>
                <w:sz w:val="24"/>
                <w:vertAlign w:val="baseline"/>
              </w:rPr>
              <w:t>-N</w:t>
            </w: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0"/>
              </w:rPr>
            </w:pPr>
          </w:p>
          <w:p>
            <w:pPr>
              <w:pStyle w:val="TableParagraph"/>
              <w:spacing w:before="1"/>
              <w:ind w:left="1260"/>
              <w:rPr>
                <w:sz w:val="24"/>
              </w:rPr>
            </w:pPr>
            <w:r>
              <w:rPr>
                <w:sz w:val="24"/>
              </w:rPr>
              <w:t>依托砖厂化粪池</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00" w:right="93"/>
              <w:jc w:val="center"/>
              <w:rPr>
                <w:sz w:val="24"/>
              </w:rPr>
            </w:pPr>
            <w:r>
              <w:rPr>
                <w:sz w:val="24"/>
              </w:rPr>
              <w:t>农林地浇灌</w:t>
            </w:r>
          </w:p>
        </w:tc>
      </w:tr>
      <w:tr>
        <w:trPr>
          <w:trHeight w:val="1160" w:hRule="atLeast"/>
        </w:trPr>
        <w:tc>
          <w:tcPr>
            <w:tcW w:w="10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35"/>
              </w:rPr>
            </w:pPr>
          </w:p>
          <w:p>
            <w:pPr>
              <w:pStyle w:val="TableParagraph"/>
              <w:spacing w:line="280" w:lineRule="auto"/>
              <w:ind w:left="285" w:right="275"/>
              <w:rPr>
                <w:rFonts w:ascii="黑体" w:eastAsia="黑体" w:hint="eastAsia"/>
                <w:sz w:val="24"/>
              </w:rPr>
            </w:pPr>
            <w:r>
              <w:rPr>
                <w:rFonts w:ascii="黑体" w:eastAsia="黑体" w:hint="eastAsia"/>
                <w:sz w:val="24"/>
              </w:rPr>
              <w:t>固体废物</w:t>
            </w:r>
          </w:p>
        </w:tc>
        <w:tc>
          <w:tcPr>
            <w:tcW w:w="1326" w:type="dxa"/>
            <w:tcBorders>
              <w:top w:val="single" w:sz="4" w:space="0" w:color="000000"/>
              <w:left w:val="single" w:sz="4" w:space="0" w:color="000000"/>
              <w:bottom w:val="single" w:sz="6" w:space="0" w:color="000000"/>
              <w:right w:val="single" w:sz="4" w:space="0" w:color="000000"/>
            </w:tcBorders>
          </w:tcPr>
          <w:p>
            <w:pPr>
              <w:pStyle w:val="TableParagraph"/>
              <w:spacing w:before="6"/>
              <w:rPr>
                <w:rFonts w:ascii="黑体"/>
                <w:sz w:val="34"/>
              </w:rPr>
            </w:pPr>
          </w:p>
          <w:p>
            <w:pPr>
              <w:pStyle w:val="TableParagraph"/>
              <w:ind w:left="111" w:right="101"/>
              <w:jc w:val="center"/>
              <w:rPr>
                <w:sz w:val="24"/>
              </w:rPr>
            </w:pPr>
            <w:r>
              <w:rPr>
                <w:sz w:val="24"/>
              </w:rPr>
              <w:t>工作人员</w:t>
            </w:r>
          </w:p>
        </w:tc>
        <w:tc>
          <w:tcPr>
            <w:tcW w:w="1545" w:type="dxa"/>
            <w:tcBorders>
              <w:top w:val="single" w:sz="4" w:space="0" w:color="000000"/>
              <w:left w:val="single" w:sz="4" w:space="0" w:color="000000"/>
              <w:bottom w:val="single" w:sz="6" w:space="0" w:color="000000"/>
              <w:right w:val="single" w:sz="4" w:space="0" w:color="000000"/>
            </w:tcBorders>
          </w:tcPr>
          <w:p>
            <w:pPr>
              <w:pStyle w:val="TableParagraph"/>
              <w:spacing w:before="7"/>
              <w:rPr>
                <w:rFonts w:ascii="黑体"/>
                <w:sz w:val="32"/>
              </w:rPr>
            </w:pPr>
          </w:p>
          <w:p>
            <w:pPr>
              <w:pStyle w:val="TableParagraph"/>
              <w:spacing w:before="1"/>
              <w:ind w:left="81" w:right="72"/>
              <w:jc w:val="center"/>
              <w:rPr>
                <w:sz w:val="24"/>
              </w:rPr>
            </w:pPr>
            <w:r>
              <w:rPr>
                <w:sz w:val="24"/>
              </w:rPr>
              <w:t>生活垃圾</w:t>
            </w:r>
          </w:p>
        </w:tc>
        <w:tc>
          <w:tcPr>
            <w:tcW w:w="4200" w:type="dxa"/>
            <w:tcBorders>
              <w:top w:val="single" w:sz="4" w:space="0" w:color="000000"/>
              <w:left w:val="single" w:sz="4" w:space="0" w:color="000000"/>
              <w:bottom w:val="single" w:sz="6" w:space="0" w:color="000000"/>
              <w:right w:val="single" w:sz="4" w:space="0" w:color="000000"/>
            </w:tcBorders>
          </w:tcPr>
          <w:p>
            <w:pPr>
              <w:pStyle w:val="TableParagraph"/>
              <w:spacing w:before="7"/>
              <w:rPr>
                <w:rFonts w:ascii="黑体"/>
                <w:sz w:val="32"/>
              </w:rPr>
            </w:pPr>
          </w:p>
          <w:p>
            <w:pPr>
              <w:pStyle w:val="TableParagraph"/>
              <w:spacing w:before="1"/>
              <w:ind w:left="420"/>
              <w:rPr>
                <w:sz w:val="24"/>
              </w:rPr>
            </w:pPr>
            <w:r>
              <w:rPr>
                <w:sz w:val="24"/>
              </w:rPr>
              <w:t>垃圾桶收集交环卫部门清运处置</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20" w:right="110"/>
              <w:jc w:val="both"/>
              <w:rPr>
                <w:sz w:val="24"/>
              </w:rPr>
            </w:pPr>
            <w:r>
              <w:rPr>
                <w:sz w:val="24"/>
              </w:rPr>
              <w:t>减量化、资源化，无害化处置率</w:t>
            </w:r>
          </w:p>
          <w:p>
            <w:pPr>
              <w:pStyle w:val="TableParagraph"/>
              <w:spacing w:line="203" w:lineRule="exact" w:before="6"/>
              <w:ind w:left="441"/>
              <w:rPr>
                <w:rFonts w:ascii="Times New Roman"/>
                <w:sz w:val="24"/>
              </w:rPr>
            </w:pPr>
            <w:r>
              <w:rPr>
                <w:rFonts w:ascii="Times New Roman"/>
                <w:sz w:val="24"/>
              </w:rPr>
              <w:t>100%</w:t>
            </w:r>
          </w:p>
        </w:tc>
      </w:tr>
      <w:tr>
        <w:trPr>
          <w:trHeight w:val="382"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6" w:space="0" w:color="000000"/>
              <w:left w:val="single" w:sz="4" w:space="0" w:color="000000"/>
              <w:bottom w:val="single" w:sz="4" w:space="0" w:color="000000"/>
              <w:right w:val="single" w:sz="4" w:space="0" w:color="000000"/>
            </w:tcBorders>
          </w:tcPr>
          <w:p>
            <w:pPr>
              <w:pStyle w:val="TableParagraph"/>
              <w:spacing w:line="280" w:lineRule="exact" w:before="82"/>
              <w:ind w:left="111" w:right="101"/>
              <w:jc w:val="center"/>
              <w:rPr>
                <w:sz w:val="24"/>
              </w:rPr>
            </w:pPr>
            <w:r>
              <w:rPr>
                <w:sz w:val="24"/>
              </w:rPr>
              <w:t>开采区</w:t>
            </w:r>
          </w:p>
        </w:tc>
        <w:tc>
          <w:tcPr>
            <w:tcW w:w="1545" w:type="dxa"/>
            <w:tcBorders>
              <w:top w:val="single" w:sz="6" w:space="0" w:color="000000"/>
              <w:left w:val="single" w:sz="4" w:space="0" w:color="000000"/>
              <w:bottom w:val="single" w:sz="4" w:space="0" w:color="000000"/>
              <w:right w:val="single" w:sz="4" w:space="0" w:color="000000"/>
            </w:tcBorders>
          </w:tcPr>
          <w:p>
            <w:pPr>
              <w:pStyle w:val="TableParagraph"/>
              <w:spacing w:line="280" w:lineRule="exact" w:before="82"/>
              <w:ind w:left="81" w:right="60"/>
              <w:jc w:val="center"/>
              <w:rPr>
                <w:sz w:val="24"/>
              </w:rPr>
            </w:pPr>
            <w:r>
              <w:rPr>
                <w:sz w:val="24"/>
              </w:rPr>
              <w:t>表土</w:t>
            </w:r>
          </w:p>
        </w:tc>
        <w:tc>
          <w:tcPr>
            <w:tcW w:w="4200" w:type="dxa"/>
            <w:tcBorders>
              <w:top w:val="single" w:sz="6" w:space="0" w:color="000000"/>
              <w:left w:val="single" w:sz="4" w:space="0" w:color="000000"/>
              <w:bottom w:val="single" w:sz="4" w:space="0" w:color="000000"/>
              <w:right w:val="single" w:sz="4" w:space="0" w:color="000000"/>
            </w:tcBorders>
          </w:tcPr>
          <w:p>
            <w:pPr>
              <w:pStyle w:val="TableParagraph"/>
              <w:spacing w:line="280" w:lineRule="exact" w:before="82"/>
              <w:ind w:left="1068"/>
              <w:rPr>
                <w:sz w:val="24"/>
              </w:rPr>
            </w:pPr>
            <w:r>
              <w:rPr>
                <w:sz w:val="24"/>
              </w:rPr>
              <w:t>喷水，压实，植被</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82"/>
              <w:ind w:left="100" w:right="93"/>
              <w:jc w:val="center"/>
              <w:rPr>
                <w:sz w:val="24"/>
              </w:rPr>
            </w:pPr>
            <w:r>
              <w:rPr>
                <w:sz w:val="24"/>
              </w:rPr>
              <w:t>用于复垦</w:t>
            </w:r>
          </w:p>
        </w:tc>
      </w:tr>
      <w:tr>
        <w:trPr>
          <w:trHeight w:val="997" w:hRule="atLeast"/>
        </w:trPr>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460" w:lineRule="atLeast" w:before="15"/>
              <w:ind w:left="405" w:right="395"/>
              <w:jc w:val="center"/>
              <w:rPr>
                <w:rFonts w:ascii="黑体" w:eastAsia="黑体" w:hint="eastAsia"/>
                <w:sz w:val="24"/>
              </w:rPr>
            </w:pPr>
            <w:r>
              <w:rPr>
                <w:rFonts w:ascii="黑体" w:eastAsia="黑体" w:hint="eastAsia"/>
                <w:sz w:val="24"/>
              </w:rPr>
              <w:t>噪声</w:t>
            </w:r>
          </w:p>
        </w:tc>
        <w:tc>
          <w:tcPr>
            <w:tcW w:w="851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60"/>
              <w:ind w:left="588"/>
              <w:rPr>
                <w:sz w:val="24"/>
              </w:rPr>
            </w:pPr>
            <w:r>
              <w:rPr>
                <w:spacing w:val="-10"/>
                <w:sz w:val="24"/>
              </w:rPr>
              <w:t>优先选用低噪声设备，开采过程采取湿法工艺，运输车辆限速禁鸣，加强管</w:t>
            </w:r>
          </w:p>
          <w:p>
            <w:pPr>
              <w:pStyle w:val="TableParagraph"/>
              <w:spacing w:before="194"/>
              <w:ind w:left="108"/>
              <w:rPr>
                <w:sz w:val="24"/>
              </w:rPr>
            </w:pPr>
            <w:r>
              <w:rPr>
                <w:sz w:val="24"/>
              </w:rPr>
              <w:t>理，噪声满足《工业企业厂界环境噪声排放标准》。</w:t>
            </w:r>
          </w:p>
        </w:tc>
      </w:tr>
      <w:tr>
        <w:trPr>
          <w:trHeight w:val="6959" w:hRule="atLeast"/>
        </w:trPr>
        <w:tc>
          <w:tcPr>
            <w:tcW w:w="9567" w:type="dxa"/>
            <w:gridSpan w:val="5"/>
            <w:tcBorders>
              <w:top w:val="single" w:sz="4" w:space="0" w:color="000000"/>
              <w:left w:val="single" w:sz="4" w:space="0" w:color="000000"/>
              <w:right w:val="single" w:sz="4" w:space="0" w:color="000000"/>
            </w:tcBorders>
          </w:tcPr>
          <w:p>
            <w:pPr>
              <w:pStyle w:val="TableParagraph"/>
              <w:spacing w:before="161"/>
              <w:ind w:left="108"/>
              <w:rPr>
                <w:b/>
                <w:sz w:val="24"/>
              </w:rPr>
            </w:pPr>
            <w:r>
              <w:rPr>
                <w:b/>
                <w:sz w:val="24"/>
              </w:rPr>
              <w:t>生态保护措施及预期效果：</w:t>
            </w:r>
          </w:p>
          <w:p>
            <w:pPr>
              <w:pStyle w:val="TableParagraph"/>
              <w:spacing w:line="297" w:lineRule="auto" w:before="96"/>
              <w:ind w:left="108" w:right="91" w:firstLine="480"/>
              <w:rPr>
                <w:sz w:val="24"/>
              </w:rPr>
            </w:pPr>
            <w:r>
              <w:rPr>
                <w:spacing w:val="-5"/>
                <w:sz w:val="24"/>
              </w:rPr>
              <w:t>一、生态保护工作实行</w:t>
            </w:r>
            <w:r>
              <w:rPr>
                <w:rFonts w:ascii="Times New Roman" w:hAnsi="Times New Roman" w:eastAsia="Times New Roman"/>
                <w:sz w:val="24"/>
              </w:rPr>
              <w:t>“</w:t>
            </w:r>
            <w:r>
              <w:rPr>
                <w:spacing w:val="-10"/>
                <w:sz w:val="24"/>
              </w:rPr>
              <w:t>预防为主、全面规划、综合防治、因地制宜、突出重点、加强</w:t>
            </w:r>
            <w:r>
              <w:rPr>
                <w:sz w:val="24"/>
              </w:rPr>
              <w:t>管理、注重效益</w:t>
            </w:r>
            <w:r>
              <w:rPr>
                <w:rFonts w:ascii="Times New Roman" w:hAnsi="Times New Roman" w:eastAsia="Times New Roman"/>
                <w:sz w:val="24"/>
              </w:rPr>
              <w:t>”</w:t>
            </w:r>
            <w:r>
              <w:rPr>
                <w:sz w:val="24"/>
              </w:rPr>
              <w:t>的方针政策。采用防护和恢复措施，做好生态防护规划。</w:t>
            </w:r>
          </w:p>
          <w:p>
            <w:pPr>
              <w:pStyle w:val="TableParagraph"/>
              <w:spacing w:line="297" w:lineRule="auto"/>
              <w:ind w:left="108" w:right="94" w:firstLine="480"/>
              <w:jc w:val="both"/>
              <w:rPr>
                <w:sz w:val="24"/>
              </w:rPr>
            </w:pPr>
            <w:r>
              <w:rPr>
                <w:spacing w:val="-4"/>
                <w:sz w:val="24"/>
              </w:rPr>
              <w:t>二、做到矿山开采方案合理化、科学化，以减少对生态植被扰动面积；采用科学的施工技术，减小对生态环境消极影响；加强工程的环境保护管理，进行必要的环境监理和生态监测；制定相应的规章制度，制订切实可行的生态影响减缓对策措施；合理利用土地资</w:t>
            </w:r>
            <w:r>
              <w:rPr>
                <w:sz w:val="24"/>
              </w:rPr>
              <w:t>源、控制林地征占破坏面积，减少生态影响及破坏程度。</w:t>
            </w:r>
          </w:p>
          <w:p>
            <w:pPr>
              <w:pStyle w:val="TableParagraph"/>
              <w:spacing w:line="297" w:lineRule="auto"/>
              <w:ind w:left="108" w:right="-29" w:firstLine="480"/>
              <w:jc w:val="both"/>
              <w:rPr>
                <w:sz w:val="24"/>
              </w:rPr>
            </w:pPr>
            <w:r>
              <w:rPr>
                <w:spacing w:val="-3"/>
                <w:sz w:val="24"/>
              </w:rPr>
              <w:t>三、指定适宜的绿化方案，遵循边施工边恢复的原则。造林面积不得低于毁坏林地面</w:t>
            </w:r>
            <w:r>
              <w:rPr>
                <w:spacing w:val="-4"/>
                <w:sz w:val="24"/>
              </w:rPr>
              <w:t>积，造林树种依据树木的生物学特性选定，人工造林技术要求及标准严格按照天然林保护</w:t>
            </w:r>
            <w:r>
              <w:rPr>
                <w:spacing w:val="-11"/>
                <w:sz w:val="24"/>
              </w:rPr>
              <w:t>工程公益林建设有关技术要求、标准执行。恢复原有的生态植被，减少自然景观影响程度。</w:t>
            </w:r>
          </w:p>
          <w:p>
            <w:pPr>
              <w:pStyle w:val="TableParagraph"/>
              <w:spacing w:line="297" w:lineRule="auto"/>
              <w:ind w:left="108" w:right="61" w:firstLine="480"/>
              <w:rPr>
                <w:sz w:val="24"/>
              </w:rPr>
            </w:pPr>
            <w:r>
              <w:rPr>
                <w:sz w:val="24"/>
              </w:rPr>
              <w:t>四、建立生态影响补偿机制，实施补偿措施，对无法恢复地段进行异地补偿，做到损一补一。</w:t>
            </w:r>
          </w:p>
          <w:p>
            <w:pPr>
              <w:pStyle w:val="TableParagraph"/>
              <w:spacing w:line="295" w:lineRule="auto"/>
              <w:ind w:left="108" w:right="96" w:firstLine="470"/>
              <w:rPr>
                <w:sz w:val="24"/>
              </w:rPr>
            </w:pPr>
            <w:r>
              <w:rPr>
                <w:sz w:val="24"/>
              </w:rPr>
              <w:t>五、按照国土及水利行政主管部门的要求编制矿山恢复治理方案、土地复垦方案及水土保持方案，并严格执行。</w:t>
            </w:r>
          </w:p>
          <w:p>
            <w:pPr>
              <w:pStyle w:val="TableParagraph"/>
              <w:spacing w:line="295" w:lineRule="auto"/>
              <w:ind w:left="108" w:right="96" w:firstLine="480"/>
              <w:jc w:val="both"/>
              <w:rPr>
                <w:rFonts w:ascii="新宋体" w:eastAsia="新宋体" w:hint="eastAsia"/>
                <w:sz w:val="24"/>
              </w:rPr>
            </w:pPr>
            <w:r>
              <w:rPr>
                <w:spacing w:val="-3"/>
                <w:sz w:val="24"/>
              </w:rPr>
              <w:t>六、环境保护管理措施。</w:t>
            </w:r>
            <w:r>
              <w:rPr>
                <w:rFonts w:ascii="新宋体" w:eastAsia="新宋体" w:hint="eastAsia"/>
                <w:spacing w:val="-2"/>
                <w:sz w:val="24"/>
              </w:rPr>
              <w:t>加强项目的环境监管，建设单位在项目建设期必须落实污染</w:t>
            </w:r>
            <w:r>
              <w:rPr>
                <w:rFonts w:ascii="新宋体" w:eastAsia="新宋体" w:hint="eastAsia"/>
                <w:spacing w:val="-3"/>
                <w:sz w:val="24"/>
              </w:rPr>
              <w:t>防治和生态保护与恢复措施，防止和减轻对生态环境造成破坏；同时应向有资质的环境工</w:t>
            </w:r>
            <w:r>
              <w:rPr>
                <w:rFonts w:ascii="新宋体" w:eastAsia="新宋体" w:hint="eastAsia"/>
                <w:spacing w:val="-2"/>
                <w:sz w:val="24"/>
              </w:rPr>
              <w:t>程监理单位委托开展施工期环境监理，定期向环境保护行政主管部门提交环境工程监理报</w:t>
            </w:r>
          </w:p>
          <w:p>
            <w:pPr>
              <w:pStyle w:val="TableParagraph"/>
              <w:spacing w:line="294" w:lineRule="exact"/>
              <w:ind w:left="108"/>
              <w:rPr>
                <w:rFonts w:ascii="新宋体" w:eastAsia="新宋体" w:hint="eastAsia"/>
                <w:sz w:val="24"/>
              </w:rPr>
            </w:pPr>
            <w:r>
              <w:rPr>
                <w:rFonts w:ascii="新宋体" w:eastAsia="新宋体" w:hint="eastAsia"/>
                <w:sz w:val="24"/>
              </w:rPr>
              <w:t>告，环境监理情况应作为批准该项目环保竣工验收的依据。</w:t>
            </w:r>
          </w:p>
        </w:tc>
      </w:tr>
    </w:tbl>
    <w:p>
      <w:pPr>
        <w:spacing w:after="0" w:line="294" w:lineRule="exact"/>
        <w:rPr>
          <w:rFonts w:ascii="新宋体" w:eastAsia="新宋体" w:hint="eastAsia"/>
          <w:sz w:val="24"/>
        </w:rPr>
        <w:sectPr>
          <w:footerReference w:type="default" r:id="rId13"/>
          <w:pgSz w:w="11910" w:h="16840"/>
          <w:pgMar w:footer="850" w:header="0" w:top="1300" w:bottom="1040" w:left="1120" w:right="980"/>
          <w:pgNumType w:start="29"/>
        </w:sectPr>
      </w:pPr>
    </w:p>
    <w:p>
      <w:pPr>
        <w:pStyle w:val="Heading1"/>
        <w:numPr>
          <w:ilvl w:val="0"/>
          <w:numId w:val="2"/>
        </w:numPr>
        <w:tabs>
          <w:tab w:pos="337" w:val="left" w:leader="none"/>
        </w:tabs>
        <w:spacing w:line="240" w:lineRule="auto" w:before="60" w:after="0"/>
        <w:ind w:left="336" w:right="0" w:hanging="210"/>
        <w:jc w:val="both"/>
      </w:pPr>
      <w:r>
        <w:rPr/>
        <w:pict>
          <v:shape style="position:absolute;margin-left:63.259998pt;margin-top:68.260010pt;width:474.5pt;height:680.15pt;mso-position-horizontal-relative:page;mso-position-vertical-relative:page;z-index:-256960512" coordorigin="1265,1365" coordsize="9490,13603" path="m1265,1876l10755,1876m1265,15474l10755,15474m1270,1871l1270,15469m10750,1871l10750,15469e" filled="false" stroked="true" strokeweight=".48pt" strokecolor="#000000">
            <v:path arrowok="t"/>
            <v:stroke dashstyle="solid"/>
            <w10:wrap type="none"/>
          </v:shape>
        </w:pict>
      </w:r>
      <w:bookmarkStart w:name="9结论与建议" w:id="54"/>
      <w:bookmarkEnd w:id="54"/>
      <w:r>
        <w:rPr/>
      </w:r>
      <w:bookmarkStart w:name="_bookmark16" w:id="55"/>
      <w:bookmarkEnd w:id="55"/>
      <w:r>
        <w:rPr/>
      </w:r>
      <w:bookmarkStart w:name="_bookmark16" w:id="56"/>
      <w:bookmarkEnd w:id="56"/>
      <w:r>
        <w:rPr>
          <w:spacing w:val="-2"/>
        </w:rPr>
        <w:t>结论与建议</w:t>
      </w:r>
    </w:p>
    <w:p>
      <w:pPr>
        <w:pStyle w:val="BodyText"/>
        <w:spacing w:before="2"/>
        <w:rPr>
          <w:rFonts w:ascii="黑体"/>
          <w:sz w:val="21"/>
        </w:rPr>
      </w:pPr>
    </w:p>
    <w:p>
      <w:pPr>
        <w:pStyle w:val="Heading2"/>
        <w:numPr>
          <w:ilvl w:val="1"/>
          <w:numId w:val="17"/>
        </w:numPr>
        <w:tabs>
          <w:tab w:pos="1098" w:val="left" w:leader="none"/>
        </w:tabs>
        <w:spacing w:line="240" w:lineRule="auto" w:before="1" w:after="0"/>
        <w:ind w:left="1097" w:right="0" w:hanging="361"/>
        <w:jc w:val="both"/>
        <w:rPr>
          <w:rFonts w:ascii="Times New Roman" w:eastAsia="Times New Roman"/>
        </w:rPr>
      </w:pPr>
      <w:r>
        <w:rPr/>
        <w:t>项目概况</w:t>
      </w:r>
    </w:p>
    <w:p>
      <w:pPr>
        <w:pStyle w:val="BodyText"/>
        <w:spacing w:line="357" w:lineRule="auto" w:before="153"/>
        <w:ind w:left="257" w:right="282" w:firstLine="480"/>
        <w:jc w:val="both"/>
        <w:rPr>
          <w:rFonts w:ascii="Times New Roman" w:hAnsi="Times New Roman" w:eastAsia="Times New Roman"/>
        </w:rPr>
      </w:pPr>
      <w:r>
        <w:rPr/>
        <w:t>安康市汉滨区鑫平新型建材有限公司为利用安康市汉滨区恒口镇金坑村一带</w:t>
      </w:r>
      <w:r>
        <w:rPr>
          <w:spacing w:val="1"/>
          <w:u w:val="dotted"/>
        </w:rPr>
        <w:t>页岩矿</w:t>
      </w:r>
      <w:r>
        <w:rPr>
          <w:spacing w:val="-1"/>
        </w:rPr>
        <w:t>资源，新建金坑村沟南砖瓦用页岩矿开采项目。该项目矿区面积为 </w:t>
      </w:r>
      <w:r>
        <w:rPr>
          <w:rFonts w:ascii="Times New Roman" w:hAnsi="Times New Roman" w:eastAsia="Times New Roman"/>
        </w:rPr>
        <w:t>0.0173km</w:t>
      </w:r>
      <w:r>
        <w:rPr>
          <w:rFonts w:ascii="Times New Roman" w:hAnsi="Times New Roman" w:eastAsia="Times New Roman"/>
          <w:position w:val="8"/>
          <w:sz w:val="15"/>
        </w:rPr>
        <w:t>2</w:t>
      </w:r>
      <w:r>
        <w:rPr>
          <w:spacing w:val="-4"/>
        </w:rPr>
        <w:t>，矿山设计</w:t>
      </w:r>
      <w:r>
        <w:rPr>
          <w:spacing w:val="-14"/>
        </w:rPr>
        <w:t>为露天开采，设计开采能力为 </w:t>
      </w:r>
      <w:r>
        <w:rPr>
          <w:rFonts w:ascii="Times New Roman" w:hAnsi="Times New Roman" w:eastAsia="Times New Roman"/>
        </w:rPr>
        <w:t>1.4 </w:t>
      </w:r>
      <w:r>
        <w:rPr>
          <w:spacing w:val="-30"/>
        </w:rPr>
        <w:t>万 </w:t>
      </w:r>
      <w:r>
        <w:rPr>
          <w:rFonts w:ascii="Times New Roman" w:hAnsi="Times New Roman" w:eastAsia="Times New Roman"/>
          <w:spacing w:val="-2"/>
        </w:rPr>
        <w:t>m</w:t>
      </w:r>
      <w:r>
        <w:rPr>
          <w:rFonts w:ascii="Times New Roman" w:hAnsi="Times New Roman" w:eastAsia="Times New Roman"/>
        </w:rPr>
        <w:t>³/</w:t>
      </w:r>
      <w:r>
        <w:rPr>
          <w:rFonts w:ascii="Times New Roman" w:hAnsi="Times New Roman" w:eastAsia="Times New Roman"/>
          <w:spacing w:val="1"/>
        </w:rPr>
        <w:t>a</w:t>
      </w:r>
      <w:r>
        <w:rPr>
          <w:spacing w:val="-24"/>
        </w:rPr>
        <w:t>，开采深度为 </w:t>
      </w:r>
      <w:r>
        <w:rPr>
          <w:rFonts w:ascii="Times New Roman" w:hAnsi="Times New Roman" w:eastAsia="Times New Roman"/>
        </w:rPr>
        <w:t>294 </w:t>
      </w:r>
      <w:r>
        <w:rPr>
          <w:spacing w:val="-20"/>
        </w:rPr>
        <w:t>米至 </w:t>
      </w:r>
      <w:r>
        <w:rPr>
          <w:rFonts w:ascii="Times New Roman" w:hAnsi="Times New Roman" w:eastAsia="Times New Roman"/>
        </w:rPr>
        <w:t>325 </w:t>
      </w:r>
      <w:r>
        <w:rPr>
          <w:spacing w:val="-20"/>
        </w:rPr>
        <w:t>米，矿山服务年限 </w:t>
      </w:r>
      <w:r>
        <w:rPr>
          <w:rFonts w:ascii="Times New Roman" w:hAnsi="Times New Roman" w:eastAsia="Times New Roman"/>
          <w:spacing w:val="-5"/>
        </w:rPr>
        <w:t>10.2</w:t>
      </w:r>
    </w:p>
    <w:p>
      <w:pPr>
        <w:pStyle w:val="BodyText"/>
        <w:spacing w:before="5"/>
        <w:ind w:left="257"/>
        <w:jc w:val="both"/>
      </w:pPr>
      <w:r>
        <w:rPr/>
        <w:t>年。项目总投资 </w:t>
      </w:r>
      <w:r>
        <w:rPr>
          <w:rFonts w:ascii="Times New Roman" w:eastAsia="Times New Roman"/>
        </w:rPr>
        <w:t>140 </w:t>
      </w:r>
      <w:r>
        <w:rPr/>
        <w:t>万元，运营期劳动定员 </w:t>
      </w:r>
      <w:r>
        <w:rPr>
          <w:rFonts w:ascii="Times New Roman" w:eastAsia="Times New Roman"/>
        </w:rPr>
        <w:t>2 </w:t>
      </w:r>
      <w:r>
        <w:rPr/>
        <w:t>人，年工作 </w:t>
      </w:r>
      <w:r>
        <w:rPr>
          <w:rFonts w:ascii="Times New Roman" w:eastAsia="Times New Roman"/>
        </w:rPr>
        <w:t>210 </w:t>
      </w:r>
      <w:r>
        <w:rPr/>
        <w:t>天。</w:t>
      </w:r>
    </w:p>
    <w:p>
      <w:pPr>
        <w:pStyle w:val="Heading2"/>
        <w:numPr>
          <w:ilvl w:val="1"/>
          <w:numId w:val="17"/>
        </w:numPr>
        <w:tabs>
          <w:tab w:pos="1098" w:val="left" w:leader="none"/>
        </w:tabs>
        <w:spacing w:line="240" w:lineRule="auto" w:before="151" w:after="0"/>
        <w:ind w:left="1097" w:right="0" w:hanging="361"/>
        <w:jc w:val="both"/>
        <w:rPr>
          <w:rFonts w:ascii="Times New Roman" w:eastAsia="Times New Roman"/>
        </w:rPr>
      </w:pPr>
      <w:r>
        <w:rPr/>
        <w:t>与国家产业政策符合性分析</w:t>
      </w:r>
    </w:p>
    <w:p>
      <w:pPr>
        <w:pStyle w:val="BodyText"/>
        <w:spacing w:before="154"/>
        <w:ind w:left="737"/>
        <w:jc w:val="both"/>
      </w:pPr>
      <w:r>
        <w:rPr/>
        <w:t>该项目是页岩矿开采项目，不属于国家发改委第 </w:t>
      </w:r>
      <w:r>
        <w:rPr>
          <w:rFonts w:ascii="Times New Roman" w:eastAsia="Times New Roman"/>
        </w:rPr>
        <w:t>21 </w:t>
      </w:r>
      <w:r>
        <w:rPr/>
        <w:t>号令《产业结构调整指导目录</w:t>
      </w:r>
    </w:p>
    <w:p>
      <w:pPr>
        <w:pStyle w:val="BodyText"/>
        <w:spacing w:line="357" w:lineRule="auto" w:before="153"/>
        <w:ind w:left="257" w:right="283"/>
        <w:jc w:val="both"/>
      </w:pPr>
      <w:r>
        <w:rPr/>
        <w:t>（</w:t>
      </w:r>
      <w:r>
        <w:rPr>
          <w:rFonts w:ascii="Times New Roman" w:eastAsia="Times New Roman"/>
        </w:rPr>
        <w:t>2011 </w:t>
      </w:r>
      <w:r>
        <w:rPr/>
        <w:t>年本</w:t>
      </w:r>
      <w:r>
        <w:rPr>
          <w:spacing w:val="-120"/>
        </w:rPr>
        <w:t>）》</w:t>
      </w:r>
      <w:r>
        <w:rPr/>
        <w:t>（</w:t>
      </w:r>
      <w:r>
        <w:rPr>
          <w:rFonts w:ascii="Times New Roman" w:eastAsia="Times New Roman"/>
        </w:rPr>
        <w:t>2013 </w:t>
      </w:r>
      <w:r>
        <w:rPr/>
        <w:t>年修正）</w:t>
      </w:r>
      <w:r>
        <w:rPr>
          <w:spacing w:val="-1"/>
        </w:rPr>
        <w:t>中鼓励类、限制类和淘汰类项目，为允许建设项目，项目</w:t>
      </w:r>
      <w:r>
        <w:rPr/>
        <w:t>符合国家产业政策。</w:t>
      </w:r>
    </w:p>
    <w:p>
      <w:pPr>
        <w:pStyle w:val="Heading2"/>
        <w:numPr>
          <w:ilvl w:val="1"/>
          <w:numId w:val="17"/>
        </w:numPr>
        <w:tabs>
          <w:tab w:pos="1098" w:val="left" w:leader="none"/>
        </w:tabs>
        <w:spacing w:line="240" w:lineRule="auto" w:before="3" w:after="0"/>
        <w:ind w:left="1097" w:right="0" w:hanging="361"/>
        <w:jc w:val="both"/>
        <w:rPr>
          <w:rFonts w:ascii="Times New Roman" w:eastAsia="Times New Roman"/>
        </w:rPr>
      </w:pPr>
      <w:r>
        <w:rPr/>
        <w:t>项目开采符合性分析</w:t>
      </w:r>
    </w:p>
    <w:p>
      <w:pPr>
        <w:pStyle w:val="BodyText"/>
        <w:spacing w:line="343" w:lineRule="auto" w:before="136"/>
        <w:ind w:left="257" w:right="283" w:firstLine="480"/>
        <w:jc w:val="both"/>
      </w:pPr>
      <w:r>
        <w:rPr>
          <w:spacing w:val="-8"/>
        </w:rPr>
        <w:t>本项目矿山远离铁路、高速公路及国道，不在其可视范围内；建设区域内没有自然保</w:t>
      </w:r>
      <w:r>
        <w:rPr>
          <w:spacing w:val="-10"/>
        </w:rPr>
        <w:t>护区、风景名胜区等需要特殊保护的区域；区域内没有不良地质现象；项目开采结束后按</w:t>
      </w:r>
      <w:r>
        <w:rPr>
          <w:spacing w:val="-6"/>
        </w:rPr>
        <w:t>照相关方案及批复进行生态恢复；符合国家产业政策要求，符合区域规划，符合《矿山生</w:t>
      </w:r>
      <w:r>
        <w:rPr/>
        <w:t>态环境保护与污染防治技术政策》相关要求。</w:t>
      </w:r>
    </w:p>
    <w:p>
      <w:pPr>
        <w:pStyle w:val="BodyText"/>
        <w:spacing w:line="345" w:lineRule="auto" w:before="1"/>
        <w:ind w:left="257" w:right="283" w:firstLine="480"/>
      </w:pPr>
      <w:r>
        <w:rPr>
          <w:spacing w:val="-7"/>
        </w:rPr>
        <w:t>本项目所开采的矿种为页岩矿，不属于安康市矿产规划中限制开采矿种，本项目不在</w:t>
      </w:r>
      <w:r>
        <w:rPr/>
        <w:t>禁止、限制开采区，视为允许开采区。因此本项目符合安康市的矿产资源规划。</w:t>
      </w:r>
    </w:p>
    <w:p>
      <w:pPr>
        <w:pStyle w:val="BodyText"/>
        <w:spacing w:line="343" w:lineRule="auto"/>
        <w:ind w:left="257" w:right="281" w:firstLine="480"/>
        <w:jc w:val="both"/>
      </w:pPr>
      <w:r>
        <w:rPr>
          <w:spacing w:val="-6"/>
        </w:rPr>
        <w:t>项目矿山周围无自然保护区核心区和缓冲区；饮用水水源地的一级和二级保护区；同</w:t>
      </w:r>
      <w:r>
        <w:rPr>
          <w:spacing w:val="-2"/>
        </w:rPr>
        <w:t>时也无需要特殊保护无风景名胜，森林公园等资源，项目海拔在 </w:t>
      </w:r>
      <w:r>
        <w:rPr>
          <w:rFonts w:ascii="Times New Roman" w:eastAsia="Times New Roman"/>
        </w:rPr>
        <w:t>1500m </w:t>
      </w:r>
      <w:r>
        <w:rPr/>
        <w:t>以下，属于适度开发区域，因此与《安康市秦岭生态环境保护规划（</w:t>
      </w:r>
      <w:r>
        <w:rPr>
          <w:rFonts w:ascii="Times New Roman" w:eastAsia="Times New Roman"/>
        </w:rPr>
        <w:t>2018</w:t>
      </w:r>
      <w:r>
        <w:rPr>
          <w:rFonts w:ascii="Times New Roman" w:eastAsia="Times New Roman"/>
          <w:spacing w:val="-1"/>
        </w:rPr>
        <w:t>-</w:t>
      </w:r>
      <w:r>
        <w:rPr>
          <w:rFonts w:ascii="Times New Roman" w:eastAsia="Times New Roman"/>
        </w:rPr>
        <w:t>2025</w:t>
      </w:r>
      <w:r>
        <w:rPr>
          <w:spacing w:val="-120"/>
        </w:rPr>
        <w:t>）</w:t>
      </w:r>
      <w:r>
        <w:rPr/>
        <w:t>》相符。</w:t>
      </w:r>
    </w:p>
    <w:p>
      <w:pPr>
        <w:pStyle w:val="BodyText"/>
        <w:spacing w:line="343" w:lineRule="auto"/>
        <w:ind w:left="257" w:right="187" w:firstLine="480"/>
      </w:pPr>
      <w:r>
        <w:rPr/>
        <w:t>项目页岩矿位于恒口镇金坑村，不属于生态保护红线范围内，不触及资源利用上线， 环境质量底线，同时恒口示范区为国家重点开发区域，无环境准入负面清单。</w:t>
      </w:r>
    </w:p>
    <w:p>
      <w:pPr>
        <w:pStyle w:val="Heading2"/>
        <w:numPr>
          <w:ilvl w:val="1"/>
          <w:numId w:val="17"/>
        </w:numPr>
        <w:tabs>
          <w:tab w:pos="1098" w:val="left" w:leader="none"/>
        </w:tabs>
        <w:spacing w:line="240" w:lineRule="auto" w:before="11" w:after="0"/>
        <w:ind w:left="1097" w:right="0" w:hanging="361"/>
        <w:jc w:val="left"/>
        <w:rPr>
          <w:rFonts w:ascii="Times New Roman" w:eastAsia="Times New Roman"/>
        </w:rPr>
      </w:pPr>
      <w:r>
        <w:rPr/>
        <w:t>环境质量现状</w:t>
      </w:r>
    </w:p>
    <w:p>
      <w:pPr>
        <w:pStyle w:val="BodyText"/>
        <w:spacing w:line="360" w:lineRule="auto" w:before="154"/>
        <w:ind w:left="257" w:right="283" w:firstLine="480"/>
      </w:pPr>
      <w:r>
        <w:rPr/>
        <w:t>项目环境空气质量现状调查引用《安康市环境质量报告书（</w:t>
      </w:r>
      <w:r>
        <w:rPr>
          <w:rFonts w:ascii="Times New Roman" w:eastAsia="Times New Roman"/>
        </w:rPr>
        <w:t>2018 </w:t>
      </w:r>
      <w:r>
        <w:rPr/>
        <w:t>年度）》可知，区域环境空气质量总体未达到《环境空气质量标准》（</w:t>
      </w:r>
      <w:r>
        <w:rPr>
          <w:rFonts w:ascii="Times New Roman" w:eastAsia="Times New Roman"/>
        </w:rPr>
        <w:t>GB3095-2012</w:t>
      </w:r>
      <w:r>
        <w:rPr/>
        <w:t>）二级标准。</w:t>
      </w:r>
    </w:p>
    <w:p>
      <w:pPr>
        <w:pStyle w:val="BodyText"/>
        <w:spacing w:line="304" w:lineRule="exact"/>
        <w:ind w:left="737"/>
      </w:pPr>
      <w:r>
        <w:rPr/>
        <w:t>声环境现状监测结果表明，矿区开采面四场界声环境均满足《声环境质量标准》</w:t>
      </w:r>
    </w:p>
    <w:p>
      <w:pPr>
        <w:pStyle w:val="BodyText"/>
        <w:spacing w:before="153"/>
        <w:ind w:left="257"/>
        <w:jc w:val="both"/>
      </w:pPr>
      <w:r>
        <w:rPr/>
        <w:t>（</w:t>
      </w:r>
      <w:r>
        <w:rPr>
          <w:rFonts w:ascii="Times New Roman" w:eastAsia="Times New Roman"/>
        </w:rPr>
        <w:t>GB3096-2008</w:t>
      </w:r>
      <w:r>
        <w:rPr/>
        <w:t>）</w:t>
      </w:r>
      <w:r>
        <w:rPr>
          <w:rFonts w:ascii="Times New Roman" w:eastAsia="Times New Roman"/>
        </w:rPr>
        <w:t>2 </w:t>
      </w:r>
      <w:r>
        <w:rPr/>
        <w:t>类标准。</w:t>
      </w:r>
    </w:p>
    <w:p>
      <w:pPr>
        <w:pStyle w:val="Heading2"/>
        <w:numPr>
          <w:ilvl w:val="1"/>
          <w:numId w:val="17"/>
        </w:numPr>
        <w:tabs>
          <w:tab w:pos="1098" w:val="left" w:leader="none"/>
        </w:tabs>
        <w:spacing w:line="240" w:lineRule="auto" w:before="153" w:after="0"/>
        <w:ind w:left="1097" w:right="0" w:hanging="361"/>
        <w:jc w:val="left"/>
        <w:rPr>
          <w:rFonts w:ascii="Times New Roman" w:eastAsia="Times New Roman"/>
        </w:rPr>
      </w:pPr>
      <w:r>
        <w:rPr/>
        <w:t>环境影响及污染防治措施</w:t>
      </w:r>
    </w:p>
    <w:p>
      <w:pPr>
        <w:pStyle w:val="ListParagraph"/>
        <w:numPr>
          <w:ilvl w:val="0"/>
          <w:numId w:val="18"/>
        </w:numPr>
        <w:tabs>
          <w:tab w:pos="1339" w:val="left" w:leader="none"/>
        </w:tabs>
        <w:spacing w:line="240" w:lineRule="auto" w:before="151" w:after="0"/>
        <w:ind w:left="1338" w:right="0" w:hanging="602"/>
        <w:jc w:val="left"/>
        <w:rPr>
          <w:sz w:val="24"/>
        </w:rPr>
      </w:pPr>
      <w:r>
        <w:rPr>
          <w:sz w:val="24"/>
        </w:rPr>
        <w:t>水环境影响及污染防治措施</w:t>
      </w:r>
    </w:p>
    <w:p>
      <w:pPr>
        <w:pStyle w:val="BodyText"/>
        <w:spacing w:line="360" w:lineRule="auto" w:before="153"/>
        <w:ind w:left="257" w:right="283" w:firstLine="480"/>
      </w:pPr>
      <w:r>
        <w:rPr>
          <w:spacing w:val="-6"/>
        </w:rPr>
        <w:t>项目在开采过程中喷淋水全部挥发或损失，无生产废水外排。生活污水依托砖厂化粪</w:t>
      </w:r>
      <w:r>
        <w:rPr/>
        <w:t>池收集处理后，定期清掏用于农林地施肥，盥洗废水用于场地抑尘洒水，不外排。</w:t>
      </w:r>
    </w:p>
    <w:p>
      <w:pPr>
        <w:spacing w:after="0" w:line="360" w:lineRule="auto"/>
        <w:sectPr>
          <w:footerReference w:type="default" r:id="rId14"/>
          <w:pgSz w:w="11910" w:h="16840"/>
          <w:pgMar w:footer="850" w:header="0" w:top="1300" w:bottom="1040" w:left="1120" w:right="980"/>
          <w:pgNumType w:start="30"/>
        </w:sectPr>
      </w:pPr>
    </w:p>
    <w:p>
      <w:pPr>
        <w:pStyle w:val="ListParagraph"/>
        <w:numPr>
          <w:ilvl w:val="0"/>
          <w:numId w:val="18"/>
        </w:numPr>
        <w:tabs>
          <w:tab w:pos="1339" w:val="left" w:leader="none"/>
        </w:tabs>
        <w:spacing w:line="240" w:lineRule="auto" w:before="147" w:after="0"/>
        <w:ind w:left="1338" w:right="0" w:hanging="602"/>
        <w:jc w:val="left"/>
        <w:rPr>
          <w:sz w:val="24"/>
        </w:rPr>
      </w:pPr>
      <w:r>
        <w:rPr/>
        <w:pict>
          <v:shape style="position:absolute;margin-left:63.259998pt;margin-top:65.860016pt;width:474.5pt;height:713.75pt;mso-position-horizontal-relative:page;mso-position-vertical-relative:page;z-index:-256959488" coordorigin="1265,1317" coordsize="9490,14275" path="m1265,1252l10755,1252m1265,15522l10755,15522m1270,1247l1270,15517m10750,1247l10750,15517e" filled="false" stroked="true" strokeweight=".48pt" strokecolor="#000000">
            <v:path arrowok="t"/>
            <v:stroke dashstyle="solid"/>
            <w10:wrap type="none"/>
          </v:shape>
        </w:pict>
      </w:r>
      <w:r>
        <w:rPr>
          <w:sz w:val="24"/>
        </w:rPr>
        <w:t>固体废物环境影响及处置措施</w:t>
      </w:r>
    </w:p>
    <w:p>
      <w:pPr>
        <w:pStyle w:val="BodyText"/>
        <w:spacing w:line="357" w:lineRule="auto" w:before="153"/>
        <w:ind w:left="257" w:right="283" w:firstLine="480"/>
      </w:pPr>
      <w:r>
        <w:rPr>
          <w:spacing w:val="-6"/>
        </w:rPr>
        <w:t>项目开采过程剥离的表土存放于表土场，待后期复垦使用；工人产生的生活垃圾集中</w:t>
      </w:r>
      <w:r>
        <w:rPr/>
        <w:t>收集后，交由村镇垃圾收集系统定期清运至垃圾填埋场处置。</w:t>
      </w:r>
    </w:p>
    <w:p>
      <w:pPr>
        <w:pStyle w:val="ListParagraph"/>
        <w:numPr>
          <w:ilvl w:val="0"/>
          <w:numId w:val="18"/>
        </w:numPr>
        <w:tabs>
          <w:tab w:pos="1339" w:val="left" w:leader="none"/>
        </w:tabs>
        <w:spacing w:line="240" w:lineRule="auto" w:before="3" w:after="0"/>
        <w:ind w:left="1338" w:right="0" w:hanging="602"/>
        <w:jc w:val="left"/>
        <w:rPr>
          <w:sz w:val="24"/>
        </w:rPr>
      </w:pPr>
      <w:r>
        <w:rPr>
          <w:sz w:val="24"/>
        </w:rPr>
        <w:t>大气环境影响及污染防治措施</w:t>
      </w:r>
    </w:p>
    <w:p>
      <w:pPr>
        <w:pStyle w:val="BodyText"/>
        <w:spacing w:line="357" w:lineRule="auto" w:before="153"/>
        <w:ind w:left="257" w:right="283" w:firstLine="480"/>
        <w:jc w:val="both"/>
      </w:pPr>
      <w:r>
        <w:rPr>
          <w:spacing w:val="-6"/>
        </w:rPr>
        <w:t>开采和装卸过程产生的大气污染物主要是粉尘。页岩矿开采过程采用喷淋洒水方式抑</w:t>
      </w:r>
      <w:r>
        <w:rPr>
          <w:spacing w:val="-11"/>
        </w:rPr>
        <w:t>尘；装卸粉尘应定期洒水，特别是干燥天气需增加洒水频次保证地面湿度，另外安排人员</w:t>
      </w:r>
      <w:r>
        <w:rPr/>
        <w:t>定期清扫道路，减少扬尘的产生；表土场通过洒水和压实等减少起尘。</w:t>
      </w:r>
    </w:p>
    <w:p>
      <w:pPr>
        <w:pStyle w:val="ListParagraph"/>
        <w:numPr>
          <w:ilvl w:val="0"/>
          <w:numId w:val="18"/>
        </w:numPr>
        <w:tabs>
          <w:tab w:pos="1339" w:val="left" w:leader="none"/>
        </w:tabs>
        <w:spacing w:line="240" w:lineRule="auto" w:before="5" w:after="0"/>
        <w:ind w:left="1338" w:right="0" w:hanging="602"/>
        <w:jc w:val="left"/>
        <w:rPr>
          <w:sz w:val="24"/>
        </w:rPr>
      </w:pPr>
      <w:r>
        <w:rPr>
          <w:sz w:val="24"/>
        </w:rPr>
        <w:t>声环境影响及污染防治措施</w:t>
      </w:r>
    </w:p>
    <w:p>
      <w:pPr>
        <w:pStyle w:val="BodyText"/>
        <w:spacing w:line="360" w:lineRule="auto" w:before="151"/>
        <w:ind w:left="257" w:right="163" w:firstLine="480"/>
      </w:pPr>
      <w:r>
        <w:rPr/>
        <w:t>本项目噪声主要来源于挖掘机工作时产生噪声，其声级一般在 </w:t>
      </w:r>
      <w:r>
        <w:rPr>
          <w:rFonts w:ascii="Times New Roman" w:eastAsia="Times New Roman"/>
        </w:rPr>
        <w:t>90dB(A)</w:t>
      </w:r>
      <w:r>
        <w:rPr/>
        <w:t>，经采取低噪声设备，加强管理和设备的保养维护，场界噪声达到《工业企业厂界环境噪声排放标准》</w:t>
      </w:r>
    </w:p>
    <w:p>
      <w:pPr>
        <w:pStyle w:val="BodyText"/>
        <w:spacing w:line="307" w:lineRule="exact"/>
        <w:ind w:left="257"/>
      </w:pPr>
      <w:r>
        <w:rPr/>
        <w:t>（</w:t>
      </w:r>
      <w:r>
        <w:rPr>
          <w:rFonts w:ascii="Times New Roman" w:hAnsi="Times New Roman" w:eastAsia="Times New Roman"/>
        </w:rPr>
        <w:t>GB 12348-2008</w:t>
      </w:r>
      <w:r>
        <w:rPr/>
        <w:t>）</w:t>
      </w:r>
      <w:r>
        <w:rPr>
          <w:rFonts w:ascii="Times New Roman" w:hAnsi="Times New Roman" w:eastAsia="Times New Roman"/>
        </w:rPr>
        <w:t>2 </w:t>
      </w:r>
      <w:r>
        <w:rPr/>
        <w:t>类区昼间</w:t>
      </w:r>
      <w:r>
        <w:rPr>
          <w:rFonts w:ascii="Times New Roman" w:hAnsi="Times New Roman" w:eastAsia="Times New Roman"/>
        </w:rPr>
        <w:t>≤60dB</w:t>
      </w:r>
      <w:r>
        <w:rPr/>
        <w:t>（</w:t>
      </w:r>
      <w:r>
        <w:rPr>
          <w:rFonts w:ascii="Times New Roman" w:hAnsi="Times New Roman" w:eastAsia="Times New Roman"/>
        </w:rPr>
        <w:t>A</w:t>
      </w:r>
      <w:r>
        <w:rPr/>
        <w:t>）标准限值。</w:t>
      </w:r>
    </w:p>
    <w:p>
      <w:pPr>
        <w:pStyle w:val="ListParagraph"/>
        <w:numPr>
          <w:ilvl w:val="0"/>
          <w:numId w:val="18"/>
        </w:numPr>
        <w:tabs>
          <w:tab w:pos="1339" w:val="left" w:leader="none"/>
        </w:tabs>
        <w:spacing w:line="240" w:lineRule="auto" w:before="151" w:after="0"/>
        <w:ind w:left="1338" w:right="0" w:hanging="602"/>
        <w:jc w:val="left"/>
        <w:rPr>
          <w:sz w:val="24"/>
        </w:rPr>
      </w:pPr>
      <w:r>
        <w:rPr>
          <w:sz w:val="24"/>
        </w:rPr>
        <w:t>生态环境影响及防治措施</w:t>
      </w:r>
    </w:p>
    <w:p>
      <w:pPr>
        <w:pStyle w:val="BodyText"/>
        <w:spacing w:line="360" w:lineRule="auto" w:before="154"/>
        <w:ind w:left="257" w:right="187" w:firstLine="480"/>
      </w:pPr>
      <w:r>
        <w:rPr>
          <w:spacing w:val="-5"/>
        </w:rPr>
        <w:t>本项目生产建设会对当地生态环境带来植被损失、土壤破坏、生物多样性影响、生态</w:t>
      </w:r>
      <w:r>
        <w:rPr>
          <w:spacing w:val="-11"/>
        </w:rPr>
        <w:t>功能影响、景观影响、水土流失影响、地质灾害影响等生态影响。建设单位应加强环保治</w:t>
      </w:r>
      <w:r>
        <w:rPr>
          <w:spacing w:val="-10"/>
        </w:rPr>
        <w:t>理措施的管理工作，坚持</w:t>
      </w:r>
      <w:r>
        <w:rPr>
          <w:rFonts w:ascii="Times New Roman" w:hAnsi="Times New Roman" w:eastAsia="Times New Roman"/>
        </w:rPr>
        <w:t>“</w:t>
      </w:r>
      <w:r>
        <w:rPr>
          <w:spacing w:val="-6"/>
        </w:rPr>
        <w:t>谁开采，谁治理，谁破坏，谁恢复</w:t>
      </w:r>
      <w:r>
        <w:rPr>
          <w:rFonts w:ascii="Times New Roman" w:hAnsi="Times New Roman" w:eastAsia="Times New Roman"/>
        </w:rPr>
        <w:t>”</w:t>
      </w:r>
      <w:r>
        <w:rPr>
          <w:spacing w:val="-4"/>
        </w:rPr>
        <w:t>的原则，严格按照《矿山生</w:t>
      </w:r>
      <w:r>
        <w:rPr>
          <w:spacing w:val="-5"/>
        </w:rPr>
        <w:t>态环境保护与恢复治理方案》予以落实，采取相应的生态恢复措施、水土流失防治措施、</w:t>
      </w:r>
      <w:r>
        <w:rPr>
          <w:spacing w:val="-8"/>
        </w:rPr>
        <w:t>地质灾害防控措施、绿化方案以及运营期满后生态恢复措施，最大限度减轻对生态环境的破坏。项目在落实上述生态环境保护措施后，对生态环境的影响可以得到有效控制。</w:t>
      </w:r>
    </w:p>
    <w:p>
      <w:pPr>
        <w:pStyle w:val="Heading2"/>
        <w:numPr>
          <w:ilvl w:val="1"/>
          <w:numId w:val="17"/>
        </w:numPr>
        <w:tabs>
          <w:tab w:pos="1098" w:val="left" w:leader="none"/>
        </w:tabs>
        <w:spacing w:line="300" w:lineRule="exact" w:before="0" w:after="0"/>
        <w:ind w:left="1097" w:right="0" w:hanging="361"/>
        <w:jc w:val="left"/>
        <w:rPr>
          <w:rFonts w:ascii="Times New Roman" w:eastAsia="Times New Roman"/>
        </w:rPr>
      </w:pPr>
      <w:r>
        <w:rPr/>
        <w:t>总结论</w:t>
      </w:r>
    </w:p>
    <w:p>
      <w:pPr>
        <w:spacing w:line="357" w:lineRule="auto" w:before="153"/>
        <w:ind w:left="257" w:right="163" w:firstLine="480"/>
        <w:jc w:val="both"/>
        <w:rPr>
          <w:b/>
          <w:sz w:val="24"/>
        </w:rPr>
      </w:pPr>
      <w:r>
        <w:rPr>
          <w:b/>
          <w:spacing w:val="3"/>
          <w:sz w:val="24"/>
        </w:rPr>
        <w:t>本项目符合国家产业政策，建设单位在落实工程设计和本评价提出的各项污染防治及生态环境保护措施后，主要污染物可做到达标排放，可减缓生态环境影响，达到区域</w:t>
      </w:r>
      <w:r>
        <w:rPr>
          <w:b/>
          <w:spacing w:val="-3"/>
          <w:sz w:val="24"/>
        </w:rPr>
        <w:t>环境质量目标要求。因此，从满足环境质量目标要求角度分析，该项目的建设是可行的。</w:t>
      </w:r>
    </w:p>
    <w:p>
      <w:pPr>
        <w:pStyle w:val="ListParagraph"/>
        <w:numPr>
          <w:ilvl w:val="1"/>
          <w:numId w:val="17"/>
        </w:numPr>
        <w:tabs>
          <w:tab w:pos="1098" w:val="left" w:leader="none"/>
        </w:tabs>
        <w:spacing w:line="240" w:lineRule="auto" w:before="5" w:after="0"/>
        <w:ind w:left="1097" w:right="0" w:hanging="361"/>
        <w:jc w:val="left"/>
        <w:rPr>
          <w:rFonts w:ascii="Times New Roman" w:eastAsia="Times New Roman"/>
          <w:sz w:val="24"/>
        </w:rPr>
      </w:pPr>
      <w:r>
        <w:rPr>
          <w:sz w:val="24"/>
        </w:rPr>
        <w:t>建议</w:t>
      </w:r>
    </w:p>
    <w:p>
      <w:pPr>
        <w:pStyle w:val="BodyText"/>
        <w:spacing w:line="360" w:lineRule="auto" w:before="151"/>
        <w:ind w:left="257" w:right="283" w:firstLine="480"/>
      </w:pPr>
      <w:r>
        <w:rPr>
          <w:rFonts w:ascii="Times New Roman" w:eastAsia="Times New Roman"/>
        </w:rPr>
        <w:t>1</w:t>
      </w:r>
      <w:r>
        <w:rPr/>
        <w:t>、建设单位应严格按照《矿山生态环境保护与污染防治方案》分片区、分时段进行植被恢复，积极落实生态保护责任。</w:t>
      </w:r>
    </w:p>
    <w:p>
      <w:pPr>
        <w:pStyle w:val="BodyText"/>
        <w:spacing w:line="307" w:lineRule="exact"/>
        <w:ind w:left="737"/>
      </w:pPr>
      <w:r>
        <w:rPr>
          <w:rFonts w:ascii="Times New Roman" w:eastAsia="Times New Roman"/>
        </w:rPr>
        <w:t>2</w:t>
      </w:r>
      <w:r>
        <w:rPr/>
        <w:t>、及时、认真地落实本环评报告中提出的各项环保措施。</w:t>
      </w:r>
    </w:p>
    <w:p>
      <w:pPr>
        <w:pStyle w:val="BodyText"/>
        <w:spacing w:line="360" w:lineRule="auto" w:before="151"/>
        <w:ind w:left="257" w:right="163" w:firstLine="480"/>
      </w:pPr>
      <w:r>
        <w:rPr>
          <w:rFonts w:ascii="Times New Roman" w:eastAsia="Times New Roman"/>
        </w:rPr>
        <w:t>3</w:t>
      </w:r>
      <w:r>
        <w:rPr>
          <w:spacing w:val="-10"/>
        </w:rPr>
        <w:t>、建设单位应加强矿区绿化与复垦意识，做好绿化与复垦的规划与计划，落实措施， </w:t>
      </w:r>
      <w:r>
        <w:rPr/>
        <w:t>及时实行复垦与绿化，恢复并改善生态环境质量。</w:t>
      </w:r>
    </w:p>
    <w:p>
      <w:pPr>
        <w:pStyle w:val="BodyText"/>
        <w:spacing w:line="307" w:lineRule="exact"/>
        <w:ind w:left="737"/>
      </w:pPr>
      <w:r>
        <w:rPr>
          <w:rFonts w:ascii="Times New Roman" w:eastAsia="Times New Roman"/>
        </w:rPr>
        <w:t>4</w:t>
      </w:r>
      <w:r>
        <w:rPr/>
        <w:t>、建设单位应制定环境监测计划，委托有资质单位按照监测计划定期开展环境监测。</w:t>
      </w:r>
    </w:p>
    <w:p>
      <w:pPr>
        <w:spacing w:after="0" w:line="307" w:lineRule="exact"/>
        <w:sectPr>
          <w:pgSz w:w="11910" w:h="16840"/>
          <w:pgMar w:header="0" w:footer="850" w:top="1220" w:bottom="1040" w:left="1120" w:right="980"/>
        </w:sect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6"/>
        <w:gridCol w:w="1158"/>
        <w:gridCol w:w="674"/>
        <w:gridCol w:w="1200"/>
      </w:tblGrid>
      <w:tr>
        <w:trPr>
          <w:trHeight w:val="6599" w:hRule="atLeast"/>
        </w:trPr>
        <w:tc>
          <w:tcPr>
            <w:tcW w:w="6416" w:type="dxa"/>
            <w:tcBorders>
              <w:right w:val="nil"/>
            </w:tcBorders>
          </w:tcPr>
          <w:p>
            <w:pPr>
              <w:pStyle w:val="TableParagraph"/>
              <w:spacing w:before="230"/>
              <w:ind w:right="4502"/>
              <w:jc w:val="right"/>
              <w:rPr>
                <w:rFonts w:ascii="黑体" w:eastAsia="黑体" w:hint="eastAsia"/>
                <w:sz w:val="30"/>
              </w:rPr>
            </w:pPr>
            <w:r>
              <w:rPr>
                <w:rFonts w:ascii="黑体" w:eastAsia="黑体" w:hint="eastAsia"/>
                <w:sz w:val="30"/>
              </w:rPr>
              <w:t>预审意见</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2"/>
              </w:rPr>
            </w:pPr>
          </w:p>
          <w:p>
            <w:pPr>
              <w:pStyle w:val="TableParagraph"/>
              <w:ind w:right="4567"/>
              <w:jc w:val="right"/>
              <w:rPr>
                <w:rFonts w:ascii="Times New Roman" w:eastAsia="Times New Roman"/>
                <w:sz w:val="30"/>
              </w:rPr>
            </w:pPr>
            <w:r>
              <w:rPr>
                <w:rFonts w:ascii="黑体" w:eastAsia="黑体" w:hint="eastAsia"/>
                <w:sz w:val="30"/>
              </w:rPr>
              <w:t>经办人</w:t>
            </w:r>
            <w:r>
              <w:rPr>
                <w:rFonts w:ascii="Times New Roman" w:eastAsia="Times New Roman"/>
                <w:sz w:val="30"/>
              </w:rPr>
              <w:t>:</w:t>
            </w:r>
          </w:p>
        </w:tc>
        <w:tc>
          <w:tcPr>
            <w:tcW w:w="1832" w:type="dxa"/>
            <w:gridSpan w:val="2"/>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7"/>
              </w:rPr>
            </w:pPr>
          </w:p>
          <w:p>
            <w:pPr>
              <w:pStyle w:val="TableParagraph"/>
              <w:tabs>
                <w:tab w:pos="1495" w:val="left" w:leader="none"/>
              </w:tabs>
              <w:ind w:left="895"/>
              <w:rPr>
                <w:rFonts w:ascii="黑体" w:eastAsia="黑体" w:hint="eastAsia"/>
                <w:sz w:val="30"/>
              </w:rPr>
            </w:pPr>
            <w:r>
              <w:rPr>
                <w:rFonts w:ascii="黑体" w:eastAsia="黑体" w:hint="eastAsia"/>
                <w:sz w:val="30"/>
              </w:rPr>
              <w:t>公</w:t>
              <w:tab/>
              <w:t>章</w:t>
            </w:r>
          </w:p>
          <w:p>
            <w:pPr>
              <w:pStyle w:val="TableParagraph"/>
              <w:rPr>
                <w:sz w:val="30"/>
              </w:rPr>
            </w:pPr>
          </w:p>
          <w:p>
            <w:pPr>
              <w:pStyle w:val="TableParagraph"/>
              <w:rPr>
                <w:sz w:val="43"/>
              </w:rPr>
            </w:pPr>
          </w:p>
          <w:p>
            <w:pPr>
              <w:pStyle w:val="TableParagraph"/>
              <w:tabs>
                <w:tab w:pos="1128" w:val="left" w:leader="none"/>
              </w:tabs>
              <w:ind w:left="379"/>
              <w:rPr>
                <w:rFonts w:ascii="黑体" w:eastAsia="黑体" w:hint="eastAsia"/>
                <w:sz w:val="30"/>
              </w:rPr>
            </w:pPr>
            <w:r>
              <w:rPr>
                <w:rFonts w:ascii="黑体" w:eastAsia="黑体" w:hint="eastAsia"/>
                <w:sz w:val="30"/>
              </w:rPr>
              <w:t>年</w:t>
              <w:tab/>
              <w:t>月</w:t>
            </w:r>
          </w:p>
        </w:tc>
        <w:tc>
          <w:tcPr>
            <w:tcW w:w="1200" w:type="dxa"/>
            <w:tcBorders>
              <w:lef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ind w:left="47"/>
              <w:rPr>
                <w:rFonts w:ascii="黑体" w:eastAsia="黑体" w:hint="eastAsia"/>
                <w:sz w:val="30"/>
              </w:rPr>
            </w:pPr>
            <w:r>
              <w:rPr>
                <w:rFonts w:ascii="黑体" w:eastAsia="黑体" w:hint="eastAsia"/>
                <w:sz w:val="30"/>
              </w:rPr>
              <w:t>日</w:t>
            </w:r>
          </w:p>
        </w:tc>
      </w:tr>
      <w:tr>
        <w:trPr>
          <w:trHeight w:val="7668" w:hRule="atLeast"/>
        </w:trPr>
        <w:tc>
          <w:tcPr>
            <w:tcW w:w="6416" w:type="dxa"/>
            <w:tcBorders>
              <w:right w:val="nil"/>
            </w:tcBorders>
          </w:tcPr>
          <w:p>
            <w:pPr>
              <w:pStyle w:val="TableParagraph"/>
              <w:spacing w:before="229"/>
              <w:ind w:left="858"/>
              <w:rPr>
                <w:rFonts w:ascii="Times New Roman" w:eastAsia="Times New Roman"/>
                <w:sz w:val="30"/>
              </w:rPr>
            </w:pPr>
            <w:r>
              <w:rPr>
                <w:rFonts w:ascii="黑体" w:eastAsia="黑体" w:hint="eastAsia"/>
                <w:sz w:val="30"/>
              </w:rPr>
              <w:t>下一级环境保护行政主管部门审查意见</w:t>
            </w:r>
            <w:r>
              <w:rPr>
                <w:rFonts w:ascii="Times New Roman" w:eastAsia="Times New Roman"/>
                <w:sz w:val="30"/>
              </w:rPr>
              <w:t>:</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5"/>
              <w:rPr>
                <w:sz w:val="36"/>
              </w:rPr>
            </w:pPr>
          </w:p>
          <w:p>
            <w:pPr>
              <w:pStyle w:val="TableParagraph"/>
              <w:ind w:left="858"/>
              <w:rPr>
                <w:rFonts w:ascii="Times New Roman" w:eastAsia="Times New Roman"/>
                <w:sz w:val="30"/>
              </w:rPr>
            </w:pPr>
            <w:r>
              <w:rPr>
                <w:rFonts w:ascii="黑体" w:eastAsia="黑体" w:hint="eastAsia"/>
                <w:sz w:val="30"/>
              </w:rPr>
              <w:t>经办人</w:t>
            </w:r>
            <w:r>
              <w:rPr>
                <w:rFonts w:ascii="Times New Roman" w:eastAsia="Times New Roman"/>
                <w:sz w:val="30"/>
              </w:rPr>
              <w:t>:</w:t>
            </w:r>
          </w:p>
        </w:tc>
        <w:tc>
          <w:tcPr>
            <w:tcW w:w="1158" w:type="dxa"/>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ind w:left="747"/>
              <w:rPr>
                <w:rFonts w:ascii="黑体" w:eastAsia="黑体" w:hint="eastAsia"/>
                <w:sz w:val="30"/>
              </w:rPr>
            </w:pPr>
            <w:r>
              <w:rPr>
                <w:rFonts w:ascii="黑体" w:eastAsia="黑体" w:hint="eastAsia"/>
                <w:sz w:val="30"/>
              </w:rPr>
              <w:t>公</w:t>
            </w:r>
          </w:p>
          <w:p>
            <w:pPr>
              <w:pStyle w:val="TableParagraph"/>
              <w:rPr>
                <w:sz w:val="30"/>
              </w:rPr>
            </w:pPr>
          </w:p>
          <w:p>
            <w:pPr>
              <w:pStyle w:val="TableParagraph"/>
              <w:rPr>
                <w:sz w:val="43"/>
              </w:rPr>
            </w:pPr>
          </w:p>
          <w:p>
            <w:pPr>
              <w:pStyle w:val="TableParagraph"/>
              <w:spacing w:before="1"/>
              <w:ind w:left="528"/>
              <w:rPr>
                <w:rFonts w:ascii="黑体" w:eastAsia="黑体" w:hint="eastAsia"/>
                <w:sz w:val="30"/>
              </w:rPr>
            </w:pPr>
            <w:r>
              <w:rPr>
                <w:rFonts w:ascii="黑体" w:eastAsia="黑体" w:hint="eastAsia"/>
                <w:sz w:val="30"/>
              </w:rPr>
              <w:t>年</w:t>
            </w:r>
          </w:p>
        </w:tc>
        <w:tc>
          <w:tcPr>
            <w:tcW w:w="674" w:type="dxa"/>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ind w:left="189"/>
              <w:rPr>
                <w:rFonts w:ascii="黑体" w:eastAsia="黑体" w:hint="eastAsia"/>
                <w:sz w:val="30"/>
              </w:rPr>
            </w:pPr>
            <w:r>
              <w:rPr>
                <w:rFonts w:ascii="黑体" w:eastAsia="黑体" w:hint="eastAsia"/>
                <w:sz w:val="30"/>
              </w:rPr>
              <w:t>章</w:t>
            </w:r>
          </w:p>
          <w:p>
            <w:pPr>
              <w:pStyle w:val="TableParagraph"/>
              <w:rPr>
                <w:sz w:val="30"/>
              </w:rPr>
            </w:pPr>
          </w:p>
          <w:p>
            <w:pPr>
              <w:pStyle w:val="TableParagraph"/>
              <w:rPr>
                <w:sz w:val="43"/>
              </w:rPr>
            </w:pPr>
          </w:p>
          <w:p>
            <w:pPr>
              <w:pStyle w:val="TableParagraph"/>
              <w:spacing w:before="1"/>
              <w:ind w:left="121"/>
              <w:rPr>
                <w:rFonts w:ascii="黑体" w:eastAsia="黑体" w:hint="eastAsia"/>
                <w:sz w:val="30"/>
              </w:rPr>
            </w:pPr>
            <w:r>
              <w:rPr>
                <w:rFonts w:ascii="黑体" w:eastAsia="黑体" w:hint="eastAsia"/>
                <w:sz w:val="30"/>
              </w:rPr>
              <w:t>月</w:t>
            </w:r>
          </w:p>
        </w:tc>
        <w:tc>
          <w:tcPr>
            <w:tcW w:w="1200" w:type="dxa"/>
            <w:tcBorders>
              <w:lef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24"/>
              </w:rPr>
            </w:pPr>
          </w:p>
          <w:p>
            <w:pPr>
              <w:pStyle w:val="TableParagraph"/>
              <w:spacing w:before="1"/>
              <w:ind w:left="196"/>
              <w:rPr>
                <w:rFonts w:ascii="黑体" w:eastAsia="黑体" w:hint="eastAsia"/>
                <w:sz w:val="30"/>
              </w:rPr>
            </w:pPr>
            <w:r>
              <w:rPr>
                <w:rFonts w:ascii="黑体" w:eastAsia="黑体" w:hint="eastAsia"/>
                <w:sz w:val="30"/>
              </w:rPr>
              <w:t>日</w:t>
            </w:r>
          </w:p>
        </w:tc>
      </w:tr>
    </w:tbl>
    <w:p>
      <w:pPr>
        <w:spacing w:after="0"/>
        <w:rPr>
          <w:rFonts w:ascii="黑体" w:eastAsia="黑体" w:hint="eastAsia"/>
          <w:sz w:val="30"/>
        </w:rPr>
        <w:sectPr>
          <w:pgSz w:w="11910" w:h="16840"/>
          <w:pgMar w:header="0" w:footer="850" w:top="1220" w:bottom="1040" w:left="1120" w:right="980"/>
        </w:sectPr>
      </w:pPr>
    </w:p>
    <w:p>
      <w:pPr>
        <w:pStyle w:val="BodyText"/>
        <w:spacing w:before="11"/>
        <w:rPr>
          <w:sz w:val="13"/>
        </w:rPr>
      </w:pPr>
      <w:r>
        <w:rPr/>
        <w:pict>
          <v:shape style="position:absolute;margin-left:67.360001pt;margin-top:67.660011pt;width:473pt;height:711.95pt;mso-position-horizontal-relative:page;mso-position-vertical-relative:page;z-index:-256958464" coordorigin="1347,1353" coordsize="9460,14239" path="m1347,1252l10807,1252m1347,15486l10807,15486m1352,1247l1352,15481m10802,1247l10802,15481e" filled="false" stroked="true" strokeweight=".48pt" strokecolor="#000000">
            <v:path arrowok="t"/>
            <v:stroke dashstyle="solid"/>
            <w10:wrap type="none"/>
          </v:shape>
        </w:pict>
      </w:r>
    </w:p>
    <w:p>
      <w:pPr>
        <w:spacing w:before="70"/>
        <w:ind w:left="939" w:right="0" w:firstLine="0"/>
        <w:jc w:val="left"/>
        <w:rPr>
          <w:rFonts w:ascii="Times New Roman" w:eastAsia="Times New Roman"/>
          <w:sz w:val="30"/>
        </w:rPr>
      </w:pPr>
      <w:r>
        <w:rPr>
          <w:rFonts w:ascii="黑体" w:eastAsia="黑体" w:hint="eastAsia"/>
          <w:sz w:val="30"/>
        </w:rPr>
        <w:t>审批意见</w:t>
      </w:r>
      <w:r>
        <w:rPr>
          <w:rFonts w:ascii="Times New Roman" w:eastAsia="Times New Roman"/>
          <w:sz w:val="30"/>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640" w:val="left" w:leader="none"/>
        </w:tabs>
        <w:spacing w:before="170"/>
        <w:ind w:left="0" w:right="1307" w:firstLine="0"/>
        <w:jc w:val="right"/>
        <w:rPr>
          <w:rFonts w:ascii="黑体" w:eastAsia="黑体" w:hint="eastAsia"/>
          <w:sz w:val="32"/>
        </w:rPr>
      </w:pPr>
      <w:r>
        <w:rPr>
          <w:rFonts w:ascii="黑体" w:eastAsia="黑体" w:hint="eastAsia"/>
          <w:sz w:val="32"/>
        </w:rPr>
        <w:t>公</w:t>
        <w:tab/>
      </w:r>
      <w:r>
        <w:rPr>
          <w:rFonts w:ascii="黑体" w:eastAsia="黑体" w:hint="eastAsia"/>
          <w:w w:val="95"/>
          <w:sz w:val="32"/>
        </w:rPr>
        <w:t>章</w:t>
      </w:r>
    </w:p>
    <w:p>
      <w:pPr>
        <w:pStyle w:val="BodyText"/>
        <w:rPr>
          <w:rFonts w:ascii="黑体"/>
          <w:sz w:val="32"/>
        </w:rPr>
      </w:pPr>
    </w:p>
    <w:p>
      <w:pPr>
        <w:pStyle w:val="BodyText"/>
        <w:rPr>
          <w:rFonts w:ascii="黑体"/>
          <w:sz w:val="39"/>
        </w:rPr>
      </w:pPr>
    </w:p>
    <w:p>
      <w:pPr>
        <w:tabs>
          <w:tab w:pos="7107" w:val="left" w:leader="none"/>
          <w:tab w:pos="7908" w:val="left" w:leader="none"/>
          <w:tab w:pos="8707" w:val="left" w:leader="none"/>
        </w:tabs>
        <w:spacing w:before="1"/>
        <w:ind w:left="1100" w:right="0" w:firstLine="0"/>
        <w:jc w:val="left"/>
        <w:rPr>
          <w:rFonts w:ascii="黑体" w:eastAsia="黑体" w:hint="eastAsia"/>
          <w:sz w:val="32"/>
        </w:rPr>
      </w:pPr>
      <w:r>
        <w:rPr>
          <w:rFonts w:ascii="黑体" w:eastAsia="黑体" w:hint="eastAsia"/>
          <w:sz w:val="32"/>
        </w:rPr>
        <w:t>经办人</w:t>
      </w:r>
      <w:r>
        <w:rPr>
          <w:rFonts w:ascii="Times New Roman" w:eastAsia="Times New Roman"/>
          <w:sz w:val="32"/>
        </w:rPr>
        <w:t>:</w:t>
        <w:tab/>
      </w:r>
      <w:r>
        <w:rPr>
          <w:rFonts w:ascii="黑体" w:eastAsia="黑体" w:hint="eastAsia"/>
          <w:sz w:val="32"/>
        </w:rPr>
        <w:t>年</w:t>
        <w:tab/>
        <w:t>月</w:t>
        <w:tab/>
        <w:t>日</w:t>
      </w:r>
    </w:p>
    <w:sectPr>
      <w:pgSz w:w="11910" w:h="16840"/>
      <w:pgMar w:header="0" w:footer="850" w:top="1220" w:bottom="1040" w:left="11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新宋体">
    <w:altName w:val="新宋体"/>
    <w:charset w:val="86"/>
    <w:family w:val="modern"/>
    <w:pitch w:val="fixed"/>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6.959015pt;margin-top:788.429993pt;width:9.050pt;height:12pt;mso-position-horizontal-relative:page;mso-position-vertical-relative:page;z-index:-2569932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759003pt;margin-top:788.429993pt;width:11.55pt;height:12pt;mso-position-horizontal-relative:page;mso-position-vertical-relative:page;z-index:-2569922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pt;margin-top:788.429993pt;width:11.05pt;height:12pt;mso-position-horizontal-relative:page;mso-position-vertical-relative:page;z-index:-2569912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200012pt;margin-top:788.429993pt;width:8.5pt;height:12pt;mso-position-horizontal-relative:page;mso-position-vertical-relative:page;z-index:-2569902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85.040009pt;margin-top:788.429993pt;width:13.1pt;height:12pt;mso-position-horizontal-relative:page;mso-position-vertical-relative:page;z-index:-2569891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40009pt;margin-top:788.429993pt;width:13.1pt;height:12pt;mso-position-horizontal-relative:page;mso-position-vertical-relative:page;z-index:-2569881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40009pt;margin-top:788.429993pt;width:13.1pt;height:12pt;mso-position-horizontal-relative:page;mso-position-vertical-relative:page;z-index:-2569871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29</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40009pt;margin-top:788.429993pt;width:13.1pt;height:12pt;mso-position-horizontal-relative:page;mso-position-vertical-relative:page;z-index:-2569861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338"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186" w:hanging="601"/>
      </w:pPr>
      <w:rPr>
        <w:rFonts w:hint="default"/>
        <w:lang w:val="zh-CN" w:eastAsia="zh-CN" w:bidi="zh-CN"/>
      </w:rPr>
    </w:lvl>
    <w:lvl w:ilvl="2">
      <w:start w:val="0"/>
      <w:numFmt w:val="bullet"/>
      <w:lvlText w:val="•"/>
      <w:lvlJc w:val="left"/>
      <w:pPr>
        <w:ind w:left="3033" w:hanging="601"/>
      </w:pPr>
      <w:rPr>
        <w:rFonts w:hint="default"/>
        <w:lang w:val="zh-CN" w:eastAsia="zh-CN" w:bidi="zh-CN"/>
      </w:rPr>
    </w:lvl>
    <w:lvl w:ilvl="3">
      <w:start w:val="0"/>
      <w:numFmt w:val="bullet"/>
      <w:lvlText w:val="•"/>
      <w:lvlJc w:val="left"/>
      <w:pPr>
        <w:ind w:left="3880" w:hanging="601"/>
      </w:pPr>
      <w:rPr>
        <w:rFonts w:hint="default"/>
        <w:lang w:val="zh-CN" w:eastAsia="zh-CN" w:bidi="zh-CN"/>
      </w:rPr>
    </w:lvl>
    <w:lvl w:ilvl="4">
      <w:start w:val="0"/>
      <w:numFmt w:val="bullet"/>
      <w:lvlText w:val="•"/>
      <w:lvlJc w:val="left"/>
      <w:pPr>
        <w:ind w:left="4726" w:hanging="601"/>
      </w:pPr>
      <w:rPr>
        <w:rFonts w:hint="default"/>
        <w:lang w:val="zh-CN" w:eastAsia="zh-CN" w:bidi="zh-CN"/>
      </w:rPr>
    </w:lvl>
    <w:lvl w:ilvl="5">
      <w:start w:val="0"/>
      <w:numFmt w:val="bullet"/>
      <w:lvlText w:val="•"/>
      <w:lvlJc w:val="left"/>
      <w:pPr>
        <w:ind w:left="5573" w:hanging="601"/>
      </w:pPr>
      <w:rPr>
        <w:rFonts w:hint="default"/>
        <w:lang w:val="zh-CN" w:eastAsia="zh-CN" w:bidi="zh-CN"/>
      </w:rPr>
    </w:lvl>
    <w:lvl w:ilvl="6">
      <w:start w:val="0"/>
      <w:numFmt w:val="bullet"/>
      <w:lvlText w:val="•"/>
      <w:lvlJc w:val="left"/>
      <w:pPr>
        <w:ind w:left="6420" w:hanging="601"/>
      </w:pPr>
      <w:rPr>
        <w:rFonts w:hint="default"/>
        <w:lang w:val="zh-CN" w:eastAsia="zh-CN" w:bidi="zh-CN"/>
      </w:rPr>
    </w:lvl>
    <w:lvl w:ilvl="7">
      <w:start w:val="0"/>
      <w:numFmt w:val="bullet"/>
      <w:lvlText w:val="•"/>
      <w:lvlJc w:val="left"/>
      <w:pPr>
        <w:ind w:left="7266" w:hanging="601"/>
      </w:pPr>
      <w:rPr>
        <w:rFonts w:hint="default"/>
        <w:lang w:val="zh-CN" w:eastAsia="zh-CN" w:bidi="zh-CN"/>
      </w:rPr>
    </w:lvl>
    <w:lvl w:ilvl="8">
      <w:start w:val="0"/>
      <w:numFmt w:val="bullet"/>
      <w:lvlText w:val="•"/>
      <w:lvlJc w:val="left"/>
      <w:pPr>
        <w:ind w:left="8113" w:hanging="601"/>
      </w:pPr>
      <w:rPr>
        <w:rFonts w:hint="default"/>
        <w:lang w:val="zh-CN" w:eastAsia="zh-CN" w:bidi="zh-CN"/>
      </w:rPr>
    </w:lvl>
  </w:abstractNum>
  <w:abstractNum w:abstractNumId="16">
    <w:multiLevelType w:val="hybridMultilevel"/>
    <w:lvl w:ilvl="0">
      <w:start w:val="9"/>
      <w:numFmt w:val="decimal"/>
      <w:lvlText w:val="%1"/>
      <w:lvlJc w:val="left"/>
      <w:pPr>
        <w:ind w:left="1097" w:hanging="360"/>
        <w:jc w:val="left"/>
      </w:pPr>
      <w:rPr>
        <w:rFonts w:hint="default"/>
        <w:lang w:val="zh-CN" w:eastAsia="zh-CN" w:bidi="zh-CN"/>
      </w:rPr>
    </w:lvl>
    <w:lvl w:ilvl="1">
      <w:start w:val="1"/>
      <w:numFmt w:val="decimal"/>
      <w:lvlText w:val="%1.%2"/>
      <w:lvlJc w:val="left"/>
      <w:pPr>
        <w:ind w:left="1097" w:hanging="360"/>
        <w:jc w:val="left"/>
      </w:pPr>
      <w:rPr>
        <w:rFonts w:hint="default"/>
        <w:b/>
        <w:bCs/>
        <w:w w:val="99"/>
        <w:lang w:val="zh-CN" w:eastAsia="zh-CN" w:bidi="zh-CN"/>
      </w:rPr>
    </w:lvl>
    <w:lvl w:ilvl="2">
      <w:start w:val="0"/>
      <w:numFmt w:val="bullet"/>
      <w:lvlText w:val="•"/>
      <w:lvlJc w:val="left"/>
      <w:pPr>
        <w:ind w:left="2841" w:hanging="360"/>
      </w:pPr>
      <w:rPr>
        <w:rFonts w:hint="default"/>
        <w:lang w:val="zh-CN" w:eastAsia="zh-CN" w:bidi="zh-CN"/>
      </w:rPr>
    </w:lvl>
    <w:lvl w:ilvl="3">
      <w:start w:val="0"/>
      <w:numFmt w:val="bullet"/>
      <w:lvlText w:val="•"/>
      <w:lvlJc w:val="left"/>
      <w:pPr>
        <w:ind w:left="3712" w:hanging="360"/>
      </w:pPr>
      <w:rPr>
        <w:rFonts w:hint="default"/>
        <w:lang w:val="zh-CN" w:eastAsia="zh-CN" w:bidi="zh-CN"/>
      </w:rPr>
    </w:lvl>
    <w:lvl w:ilvl="4">
      <w:start w:val="0"/>
      <w:numFmt w:val="bullet"/>
      <w:lvlText w:val="•"/>
      <w:lvlJc w:val="left"/>
      <w:pPr>
        <w:ind w:left="4582" w:hanging="360"/>
      </w:pPr>
      <w:rPr>
        <w:rFonts w:hint="default"/>
        <w:lang w:val="zh-CN" w:eastAsia="zh-CN" w:bidi="zh-CN"/>
      </w:rPr>
    </w:lvl>
    <w:lvl w:ilvl="5">
      <w:start w:val="0"/>
      <w:numFmt w:val="bullet"/>
      <w:lvlText w:val="•"/>
      <w:lvlJc w:val="left"/>
      <w:pPr>
        <w:ind w:left="5453" w:hanging="360"/>
      </w:pPr>
      <w:rPr>
        <w:rFonts w:hint="default"/>
        <w:lang w:val="zh-CN" w:eastAsia="zh-CN" w:bidi="zh-CN"/>
      </w:rPr>
    </w:lvl>
    <w:lvl w:ilvl="6">
      <w:start w:val="0"/>
      <w:numFmt w:val="bullet"/>
      <w:lvlText w:val="•"/>
      <w:lvlJc w:val="left"/>
      <w:pPr>
        <w:ind w:left="6324" w:hanging="360"/>
      </w:pPr>
      <w:rPr>
        <w:rFonts w:hint="default"/>
        <w:lang w:val="zh-CN" w:eastAsia="zh-CN" w:bidi="zh-CN"/>
      </w:rPr>
    </w:lvl>
    <w:lvl w:ilvl="7">
      <w:start w:val="0"/>
      <w:numFmt w:val="bullet"/>
      <w:lvlText w:val="•"/>
      <w:lvlJc w:val="left"/>
      <w:pPr>
        <w:ind w:left="7194" w:hanging="360"/>
      </w:pPr>
      <w:rPr>
        <w:rFonts w:hint="default"/>
        <w:lang w:val="zh-CN" w:eastAsia="zh-CN" w:bidi="zh-CN"/>
      </w:rPr>
    </w:lvl>
    <w:lvl w:ilvl="8">
      <w:start w:val="0"/>
      <w:numFmt w:val="bullet"/>
      <w:lvlText w:val="•"/>
      <w:lvlJc w:val="left"/>
      <w:pPr>
        <w:ind w:left="8065" w:hanging="360"/>
      </w:pPr>
      <w:rPr>
        <w:rFonts w:hint="default"/>
        <w:lang w:val="zh-CN" w:eastAsia="zh-CN" w:bidi="zh-CN"/>
      </w:rPr>
    </w:lvl>
  </w:abstractNum>
  <w:abstractNum w:abstractNumId="15">
    <w:multiLevelType w:val="hybridMultilevel"/>
    <w:lvl w:ilvl="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78" w:hanging="601"/>
      </w:pPr>
      <w:rPr>
        <w:rFonts w:hint="default"/>
        <w:lang w:val="zh-CN" w:eastAsia="zh-CN" w:bidi="zh-CN"/>
      </w:rPr>
    </w:lvl>
    <w:lvl w:ilvl="2">
      <w:start w:val="0"/>
      <w:numFmt w:val="bullet"/>
      <w:lvlText w:val="•"/>
      <w:lvlJc w:val="left"/>
      <w:pPr>
        <w:ind w:left="3137" w:hanging="601"/>
      </w:pPr>
      <w:rPr>
        <w:rFonts w:hint="default"/>
        <w:lang w:val="zh-CN" w:eastAsia="zh-CN" w:bidi="zh-CN"/>
      </w:rPr>
    </w:lvl>
    <w:lvl w:ilvl="3">
      <w:start w:val="0"/>
      <w:numFmt w:val="bullet"/>
      <w:lvlText w:val="•"/>
      <w:lvlJc w:val="left"/>
      <w:pPr>
        <w:ind w:left="3996" w:hanging="601"/>
      </w:pPr>
      <w:rPr>
        <w:rFonts w:hint="default"/>
        <w:lang w:val="zh-CN" w:eastAsia="zh-CN" w:bidi="zh-CN"/>
      </w:rPr>
    </w:lvl>
    <w:lvl w:ilvl="4">
      <w:start w:val="0"/>
      <w:numFmt w:val="bullet"/>
      <w:lvlText w:val="•"/>
      <w:lvlJc w:val="left"/>
      <w:pPr>
        <w:ind w:left="4854" w:hanging="601"/>
      </w:pPr>
      <w:rPr>
        <w:rFonts w:hint="default"/>
        <w:lang w:val="zh-CN" w:eastAsia="zh-CN" w:bidi="zh-CN"/>
      </w:rPr>
    </w:lvl>
    <w:lvl w:ilvl="5">
      <w:start w:val="0"/>
      <w:numFmt w:val="bullet"/>
      <w:lvlText w:val="•"/>
      <w:lvlJc w:val="left"/>
      <w:pPr>
        <w:ind w:left="5713" w:hanging="601"/>
      </w:pPr>
      <w:rPr>
        <w:rFonts w:hint="default"/>
        <w:lang w:val="zh-CN" w:eastAsia="zh-CN" w:bidi="zh-CN"/>
      </w:rPr>
    </w:lvl>
    <w:lvl w:ilvl="6">
      <w:start w:val="0"/>
      <w:numFmt w:val="bullet"/>
      <w:lvlText w:val="•"/>
      <w:lvlJc w:val="left"/>
      <w:pPr>
        <w:ind w:left="6572" w:hanging="601"/>
      </w:pPr>
      <w:rPr>
        <w:rFonts w:hint="default"/>
        <w:lang w:val="zh-CN" w:eastAsia="zh-CN" w:bidi="zh-CN"/>
      </w:rPr>
    </w:lvl>
    <w:lvl w:ilvl="7">
      <w:start w:val="0"/>
      <w:numFmt w:val="bullet"/>
      <w:lvlText w:val="•"/>
      <w:lvlJc w:val="left"/>
      <w:pPr>
        <w:ind w:left="7430"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14">
    <w:multiLevelType w:val="hybridMultilevel"/>
    <w:lvl w:ilvl="0">
      <w:start w:val="1"/>
      <w:numFmt w:val="upperLetter"/>
      <w:lvlText w:val="（%1）"/>
      <w:lvlJc w:val="left"/>
      <w:pPr>
        <w:ind w:left="336" w:hanging="656"/>
        <w:jc w:val="left"/>
      </w:pPr>
      <w:rPr>
        <w:rFonts w:hint="default" w:ascii="宋体" w:hAnsi="宋体" w:eastAsia="宋体" w:cs="宋体"/>
        <w:spacing w:val="-1"/>
        <w:w w:val="100"/>
        <w:sz w:val="22"/>
        <w:szCs w:val="22"/>
        <w:lang w:val="zh-CN" w:eastAsia="zh-CN" w:bidi="zh-CN"/>
      </w:rPr>
    </w:lvl>
    <w:lvl w:ilvl="1">
      <w:start w:val="1"/>
      <w:numFmt w:val="decimal"/>
      <w:lvlText w:val="（%2）"/>
      <w:lvlJc w:val="left"/>
      <w:pPr>
        <w:ind w:left="1417"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2374" w:hanging="601"/>
      </w:pPr>
      <w:rPr>
        <w:rFonts w:hint="default"/>
        <w:lang w:val="zh-CN" w:eastAsia="zh-CN" w:bidi="zh-CN"/>
      </w:rPr>
    </w:lvl>
    <w:lvl w:ilvl="3">
      <w:start w:val="0"/>
      <w:numFmt w:val="bullet"/>
      <w:lvlText w:val="•"/>
      <w:lvlJc w:val="left"/>
      <w:pPr>
        <w:ind w:left="3328" w:hanging="601"/>
      </w:pPr>
      <w:rPr>
        <w:rFonts w:hint="default"/>
        <w:lang w:val="zh-CN" w:eastAsia="zh-CN" w:bidi="zh-CN"/>
      </w:rPr>
    </w:lvl>
    <w:lvl w:ilvl="4">
      <w:start w:val="0"/>
      <w:numFmt w:val="bullet"/>
      <w:lvlText w:val="•"/>
      <w:lvlJc w:val="left"/>
      <w:pPr>
        <w:ind w:left="4282" w:hanging="601"/>
      </w:pPr>
      <w:rPr>
        <w:rFonts w:hint="default"/>
        <w:lang w:val="zh-CN" w:eastAsia="zh-CN" w:bidi="zh-CN"/>
      </w:rPr>
    </w:lvl>
    <w:lvl w:ilvl="5">
      <w:start w:val="0"/>
      <w:numFmt w:val="bullet"/>
      <w:lvlText w:val="•"/>
      <w:lvlJc w:val="left"/>
      <w:pPr>
        <w:ind w:left="5236" w:hanging="601"/>
      </w:pPr>
      <w:rPr>
        <w:rFonts w:hint="default"/>
        <w:lang w:val="zh-CN" w:eastAsia="zh-CN" w:bidi="zh-CN"/>
      </w:rPr>
    </w:lvl>
    <w:lvl w:ilvl="6">
      <w:start w:val="0"/>
      <w:numFmt w:val="bullet"/>
      <w:lvlText w:val="•"/>
      <w:lvlJc w:val="left"/>
      <w:pPr>
        <w:ind w:left="6190" w:hanging="601"/>
      </w:pPr>
      <w:rPr>
        <w:rFonts w:hint="default"/>
        <w:lang w:val="zh-CN" w:eastAsia="zh-CN" w:bidi="zh-CN"/>
      </w:rPr>
    </w:lvl>
    <w:lvl w:ilvl="7">
      <w:start w:val="0"/>
      <w:numFmt w:val="bullet"/>
      <w:lvlText w:val="•"/>
      <w:lvlJc w:val="left"/>
      <w:pPr>
        <w:ind w:left="7144" w:hanging="601"/>
      </w:pPr>
      <w:rPr>
        <w:rFonts w:hint="default"/>
        <w:lang w:val="zh-CN" w:eastAsia="zh-CN" w:bidi="zh-CN"/>
      </w:rPr>
    </w:lvl>
    <w:lvl w:ilvl="8">
      <w:start w:val="0"/>
      <w:numFmt w:val="bullet"/>
      <w:lvlText w:val="•"/>
      <w:lvlJc w:val="left"/>
      <w:pPr>
        <w:ind w:left="8098" w:hanging="601"/>
      </w:pPr>
      <w:rPr>
        <w:rFonts w:hint="default"/>
        <w:lang w:val="zh-CN" w:eastAsia="zh-CN" w:bidi="zh-CN"/>
      </w:rPr>
    </w:lvl>
  </w:abstractNum>
  <w:abstractNum w:abstractNumId="13">
    <w:multiLevelType w:val="hybridMultilevel"/>
    <w:lvl w:ilvl="0">
      <w:start w:val="7"/>
      <w:numFmt w:val="decimal"/>
      <w:lvlText w:val="%1"/>
      <w:lvlJc w:val="left"/>
      <w:pPr>
        <w:ind w:left="1356" w:hanging="540"/>
        <w:jc w:val="left"/>
      </w:pPr>
      <w:rPr>
        <w:rFonts w:hint="default"/>
        <w:lang w:val="zh-CN" w:eastAsia="zh-CN" w:bidi="zh-CN"/>
      </w:rPr>
    </w:lvl>
    <w:lvl w:ilvl="1">
      <w:start w:val="2"/>
      <w:numFmt w:val="decimal"/>
      <w:lvlText w:val="%1.%2"/>
      <w:lvlJc w:val="left"/>
      <w:pPr>
        <w:ind w:left="1356" w:hanging="540"/>
        <w:jc w:val="left"/>
      </w:pPr>
      <w:rPr>
        <w:rFonts w:hint="default"/>
        <w:lang w:val="zh-CN" w:eastAsia="zh-CN" w:bidi="zh-CN"/>
      </w:rPr>
    </w:lvl>
    <w:lvl w:ilvl="2">
      <w:start w:val="2"/>
      <w:numFmt w:val="decimal"/>
      <w:lvlText w:val="%1.%2.%3"/>
      <w:lvlJc w:val="left"/>
      <w:pPr>
        <w:ind w:left="135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954" w:hanging="540"/>
      </w:pPr>
      <w:rPr>
        <w:rFonts w:hint="default"/>
        <w:lang w:val="zh-CN" w:eastAsia="zh-CN" w:bidi="zh-CN"/>
      </w:rPr>
    </w:lvl>
    <w:lvl w:ilvl="4">
      <w:start w:val="0"/>
      <w:numFmt w:val="bullet"/>
      <w:lvlText w:val="•"/>
      <w:lvlJc w:val="left"/>
      <w:pPr>
        <w:ind w:left="4818" w:hanging="540"/>
      </w:pPr>
      <w:rPr>
        <w:rFonts w:hint="default"/>
        <w:lang w:val="zh-CN" w:eastAsia="zh-CN" w:bidi="zh-CN"/>
      </w:rPr>
    </w:lvl>
    <w:lvl w:ilvl="5">
      <w:start w:val="0"/>
      <w:numFmt w:val="bullet"/>
      <w:lvlText w:val="•"/>
      <w:lvlJc w:val="left"/>
      <w:pPr>
        <w:ind w:left="5683" w:hanging="540"/>
      </w:pPr>
      <w:rPr>
        <w:rFonts w:hint="default"/>
        <w:lang w:val="zh-CN" w:eastAsia="zh-CN" w:bidi="zh-CN"/>
      </w:rPr>
    </w:lvl>
    <w:lvl w:ilvl="6">
      <w:start w:val="0"/>
      <w:numFmt w:val="bullet"/>
      <w:lvlText w:val="•"/>
      <w:lvlJc w:val="left"/>
      <w:pPr>
        <w:ind w:left="6548" w:hanging="540"/>
      </w:pPr>
      <w:rPr>
        <w:rFonts w:hint="default"/>
        <w:lang w:val="zh-CN" w:eastAsia="zh-CN" w:bidi="zh-CN"/>
      </w:rPr>
    </w:lvl>
    <w:lvl w:ilvl="7">
      <w:start w:val="0"/>
      <w:numFmt w:val="bullet"/>
      <w:lvlText w:val="•"/>
      <w:lvlJc w:val="left"/>
      <w:pPr>
        <w:ind w:left="7412" w:hanging="540"/>
      </w:pPr>
      <w:rPr>
        <w:rFonts w:hint="default"/>
        <w:lang w:val="zh-CN" w:eastAsia="zh-CN" w:bidi="zh-CN"/>
      </w:rPr>
    </w:lvl>
    <w:lvl w:ilvl="8">
      <w:start w:val="0"/>
      <w:numFmt w:val="bullet"/>
      <w:lvlText w:val="•"/>
      <w:lvlJc w:val="left"/>
      <w:pPr>
        <w:ind w:left="8277" w:hanging="540"/>
      </w:pPr>
      <w:rPr>
        <w:rFonts w:hint="default"/>
        <w:lang w:val="zh-CN" w:eastAsia="zh-CN" w:bidi="zh-CN"/>
      </w:rPr>
    </w:lvl>
  </w:abstractNum>
  <w:abstractNum w:abstractNumId="12">
    <w:multiLevelType w:val="hybridMultilevel"/>
    <w:lvl w:ilvl="0">
      <w:start w:val="2"/>
      <w:numFmt w:val="decimal"/>
      <w:lvlText w:val="（%1）"/>
      <w:lvlJc w:val="left"/>
      <w:pPr>
        <w:ind w:left="141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78" w:hanging="601"/>
      </w:pPr>
      <w:rPr>
        <w:rFonts w:hint="default"/>
        <w:lang w:val="zh-CN" w:eastAsia="zh-CN" w:bidi="zh-CN"/>
      </w:rPr>
    </w:lvl>
    <w:lvl w:ilvl="2">
      <w:start w:val="0"/>
      <w:numFmt w:val="bullet"/>
      <w:lvlText w:val="•"/>
      <w:lvlJc w:val="left"/>
      <w:pPr>
        <w:ind w:left="3137" w:hanging="601"/>
      </w:pPr>
      <w:rPr>
        <w:rFonts w:hint="default"/>
        <w:lang w:val="zh-CN" w:eastAsia="zh-CN" w:bidi="zh-CN"/>
      </w:rPr>
    </w:lvl>
    <w:lvl w:ilvl="3">
      <w:start w:val="0"/>
      <w:numFmt w:val="bullet"/>
      <w:lvlText w:val="•"/>
      <w:lvlJc w:val="left"/>
      <w:pPr>
        <w:ind w:left="3996" w:hanging="601"/>
      </w:pPr>
      <w:rPr>
        <w:rFonts w:hint="default"/>
        <w:lang w:val="zh-CN" w:eastAsia="zh-CN" w:bidi="zh-CN"/>
      </w:rPr>
    </w:lvl>
    <w:lvl w:ilvl="4">
      <w:start w:val="0"/>
      <w:numFmt w:val="bullet"/>
      <w:lvlText w:val="•"/>
      <w:lvlJc w:val="left"/>
      <w:pPr>
        <w:ind w:left="4854" w:hanging="601"/>
      </w:pPr>
      <w:rPr>
        <w:rFonts w:hint="default"/>
        <w:lang w:val="zh-CN" w:eastAsia="zh-CN" w:bidi="zh-CN"/>
      </w:rPr>
    </w:lvl>
    <w:lvl w:ilvl="5">
      <w:start w:val="0"/>
      <w:numFmt w:val="bullet"/>
      <w:lvlText w:val="•"/>
      <w:lvlJc w:val="left"/>
      <w:pPr>
        <w:ind w:left="5713" w:hanging="601"/>
      </w:pPr>
      <w:rPr>
        <w:rFonts w:hint="default"/>
        <w:lang w:val="zh-CN" w:eastAsia="zh-CN" w:bidi="zh-CN"/>
      </w:rPr>
    </w:lvl>
    <w:lvl w:ilvl="6">
      <w:start w:val="0"/>
      <w:numFmt w:val="bullet"/>
      <w:lvlText w:val="•"/>
      <w:lvlJc w:val="left"/>
      <w:pPr>
        <w:ind w:left="6572" w:hanging="601"/>
      </w:pPr>
      <w:rPr>
        <w:rFonts w:hint="default"/>
        <w:lang w:val="zh-CN" w:eastAsia="zh-CN" w:bidi="zh-CN"/>
      </w:rPr>
    </w:lvl>
    <w:lvl w:ilvl="7">
      <w:start w:val="0"/>
      <w:numFmt w:val="bullet"/>
      <w:lvlText w:val="•"/>
      <w:lvlJc w:val="left"/>
      <w:pPr>
        <w:ind w:left="7430"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11">
    <w:multiLevelType w:val="hybridMultilevel"/>
    <w:lvl w:ilvl="0">
      <w:start w:val="1"/>
      <w:numFmt w:val="decimal"/>
      <w:lvlText w:val="（%1）"/>
      <w:lvlJc w:val="left"/>
      <w:pPr>
        <w:ind w:left="118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10">
    <w:multiLevelType w:val="hybridMultilevel"/>
    <w:lvl w:ilvl="0">
      <w:start w:val="7"/>
      <w:numFmt w:val="decimal"/>
      <w:lvlText w:val="%1"/>
      <w:lvlJc w:val="left"/>
      <w:pPr>
        <w:ind w:left="468" w:hanging="360"/>
        <w:jc w:val="left"/>
      </w:pPr>
      <w:rPr>
        <w:rFonts w:hint="default"/>
        <w:lang w:val="zh-CN" w:eastAsia="zh-CN" w:bidi="zh-CN"/>
      </w:rPr>
    </w:lvl>
    <w:lvl w:ilvl="1">
      <w:start w:val="2"/>
      <w:numFmt w:val="decimal"/>
      <w:lvlText w:val="%1.%2"/>
      <w:lvlJc w:val="left"/>
      <w:pPr>
        <w:ind w:left="468" w:hanging="360"/>
        <w:jc w:val="left"/>
      </w:pPr>
      <w:rPr>
        <w:rFonts w:hint="default" w:ascii="Times New Roman" w:hAnsi="Times New Roman" w:eastAsia="Times New Roman" w:cs="Times New Roman"/>
        <w:w w:val="100"/>
        <w:sz w:val="24"/>
        <w:szCs w:val="24"/>
        <w:lang w:val="zh-CN" w:eastAsia="zh-CN" w:bidi="zh-CN"/>
      </w:rPr>
    </w:lvl>
    <w:lvl w:ilvl="2">
      <w:start w:val="1"/>
      <w:numFmt w:val="decimal"/>
      <w:lvlText w:val="%1.%2.%3"/>
      <w:lvlJc w:val="left"/>
      <w:pPr>
        <w:ind w:left="1128"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2992" w:hanging="540"/>
      </w:pPr>
      <w:rPr>
        <w:rFonts w:hint="default"/>
        <w:lang w:val="zh-CN" w:eastAsia="zh-CN" w:bidi="zh-CN"/>
      </w:rPr>
    </w:lvl>
    <w:lvl w:ilvl="4">
      <w:start w:val="0"/>
      <w:numFmt w:val="bullet"/>
      <w:lvlText w:val="•"/>
      <w:lvlJc w:val="left"/>
      <w:pPr>
        <w:ind w:left="3928" w:hanging="540"/>
      </w:pPr>
      <w:rPr>
        <w:rFonts w:hint="default"/>
        <w:lang w:val="zh-CN" w:eastAsia="zh-CN" w:bidi="zh-CN"/>
      </w:rPr>
    </w:lvl>
    <w:lvl w:ilvl="5">
      <w:start w:val="0"/>
      <w:numFmt w:val="bullet"/>
      <w:lvlText w:val="•"/>
      <w:lvlJc w:val="left"/>
      <w:pPr>
        <w:ind w:left="4864" w:hanging="540"/>
      </w:pPr>
      <w:rPr>
        <w:rFonts w:hint="default"/>
        <w:lang w:val="zh-CN" w:eastAsia="zh-CN" w:bidi="zh-CN"/>
      </w:rPr>
    </w:lvl>
    <w:lvl w:ilvl="6">
      <w:start w:val="0"/>
      <w:numFmt w:val="bullet"/>
      <w:lvlText w:val="•"/>
      <w:lvlJc w:val="left"/>
      <w:pPr>
        <w:ind w:left="5800" w:hanging="540"/>
      </w:pPr>
      <w:rPr>
        <w:rFonts w:hint="default"/>
        <w:lang w:val="zh-CN" w:eastAsia="zh-CN" w:bidi="zh-CN"/>
      </w:rPr>
    </w:lvl>
    <w:lvl w:ilvl="7">
      <w:start w:val="0"/>
      <w:numFmt w:val="bullet"/>
      <w:lvlText w:val="•"/>
      <w:lvlJc w:val="left"/>
      <w:pPr>
        <w:ind w:left="6736" w:hanging="540"/>
      </w:pPr>
      <w:rPr>
        <w:rFonts w:hint="default"/>
        <w:lang w:val="zh-CN" w:eastAsia="zh-CN" w:bidi="zh-CN"/>
      </w:rPr>
    </w:lvl>
    <w:lvl w:ilvl="8">
      <w:start w:val="0"/>
      <w:numFmt w:val="bullet"/>
      <w:lvlText w:val="•"/>
      <w:lvlJc w:val="left"/>
      <w:pPr>
        <w:ind w:left="7672" w:hanging="540"/>
      </w:pPr>
      <w:rPr>
        <w:rFonts w:hint="default"/>
        <w:lang w:val="zh-CN" w:eastAsia="zh-CN" w:bidi="zh-CN"/>
      </w:rPr>
    </w:lvl>
  </w:abstractNum>
  <w:abstractNum w:abstractNumId="9">
    <w:multiLevelType w:val="hybridMultilevel"/>
    <w:lvl w:ilvl="0">
      <w:start w:val="5"/>
      <w:numFmt w:val="decimal"/>
      <w:lvlText w:val="%1"/>
      <w:lvlJc w:val="left"/>
      <w:pPr>
        <w:ind w:left="626" w:hanging="360"/>
        <w:jc w:val="left"/>
      </w:pPr>
      <w:rPr>
        <w:rFonts w:hint="default"/>
        <w:lang w:val="zh-CN" w:eastAsia="zh-CN" w:bidi="zh-CN"/>
      </w:rPr>
    </w:lvl>
    <w:lvl w:ilvl="1">
      <w:start w:val="1"/>
      <w:numFmt w:val="decimal"/>
      <w:lvlText w:val="%1.%2"/>
      <w:lvlJc w:val="left"/>
      <w:pPr>
        <w:ind w:left="626" w:hanging="360"/>
        <w:jc w:val="left"/>
      </w:pPr>
      <w:rPr>
        <w:rFonts w:hint="default" w:ascii="Times New Roman" w:hAnsi="Times New Roman" w:eastAsia="Times New Roman" w:cs="Times New Roman"/>
        <w:w w:val="100"/>
        <w:sz w:val="24"/>
        <w:szCs w:val="24"/>
        <w:lang w:val="zh-CN" w:eastAsia="zh-CN" w:bidi="zh-CN"/>
      </w:rPr>
    </w:lvl>
    <w:lvl w:ilvl="2">
      <w:start w:val="1"/>
      <w:numFmt w:val="decimal"/>
      <w:lvlText w:val="%1.%2.%3"/>
      <w:lvlJc w:val="left"/>
      <w:pPr>
        <w:ind w:left="128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219" w:hanging="540"/>
      </w:pPr>
      <w:rPr>
        <w:rFonts w:hint="default"/>
        <w:lang w:val="zh-CN" w:eastAsia="zh-CN" w:bidi="zh-CN"/>
      </w:rPr>
    </w:lvl>
    <w:lvl w:ilvl="4">
      <w:start w:val="0"/>
      <w:numFmt w:val="bullet"/>
      <w:lvlText w:val="•"/>
      <w:lvlJc w:val="left"/>
      <w:pPr>
        <w:ind w:left="4189" w:hanging="540"/>
      </w:pPr>
      <w:rPr>
        <w:rFonts w:hint="default"/>
        <w:lang w:val="zh-CN" w:eastAsia="zh-CN" w:bidi="zh-CN"/>
      </w:rPr>
    </w:lvl>
    <w:lvl w:ilvl="5">
      <w:start w:val="0"/>
      <w:numFmt w:val="bullet"/>
      <w:lvlText w:val="•"/>
      <w:lvlJc w:val="left"/>
      <w:pPr>
        <w:ind w:left="5158" w:hanging="540"/>
      </w:pPr>
      <w:rPr>
        <w:rFonts w:hint="default"/>
        <w:lang w:val="zh-CN" w:eastAsia="zh-CN" w:bidi="zh-CN"/>
      </w:rPr>
    </w:lvl>
    <w:lvl w:ilvl="6">
      <w:start w:val="0"/>
      <w:numFmt w:val="bullet"/>
      <w:lvlText w:val="•"/>
      <w:lvlJc w:val="left"/>
      <w:pPr>
        <w:ind w:left="6128" w:hanging="540"/>
      </w:pPr>
      <w:rPr>
        <w:rFonts w:hint="default"/>
        <w:lang w:val="zh-CN" w:eastAsia="zh-CN" w:bidi="zh-CN"/>
      </w:rPr>
    </w:lvl>
    <w:lvl w:ilvl="7">
      <w:start w:val="0"/>
      <w:numFmt w:val="bullet"/>
      <w:lvlText w:val="•"/>
      <w:lvlJc w:val="left"/>
      <w:pPr>
        <w:ind w:left="7098" w:hanging="540"/>
      </w:pPr>
      <w:rPr>
        <w:rFonts w:hint="default"/>
        <w:lang w:val="zh-CN" w:eastAsia="zh-CN" w:bidi="zh-CN"/>
      </w:rPr>
    </w:lvl>
    <w:lvl w:ilvl="8">
      <w:start w:val="0"/>
      <w:numFmt w:val="bullet"/>
      <w:lvlText w:val="•"/>
      <w:lvlJc w:val="left"/>
      <w:pPr>
        <w:ind w:left="8067" w:hanging="540"/>
      </w:pPr>
      <w:rPr>
        <w:rFonts w:hint="default"/>
        <w:lang w:val="zh-CN" w:eastAsia="zh-CN" w:bidi="zh-CN"/>
      </w:rPr>
    </w:lvl>
  </w:abstractNum>
  <w:abstractNum w:abstractNumId="8">
    <w:multiLevelType w:val="hybridMultilevel"/>
    <w:lvl w:ilvl="0">
      <w:start w:val="3"/>
      <w:numFmt w:val="decimal"/>
      <w:lvlText w:val="%1"/>
      <w:lvlJc w:val="left"/>
      <w:pPr>
        <w:ind w:left="696" w:hanging="360"/>
        <w:jc w:val="left"/>
      </w:pPr>
      <w:rPr>
        <w:rFonts w:hint="default"/>
        <w:lang w:val="zh-CN" w:eastAsia="zh-CN" w:bidi="zh-CN"/>
      </w:rPr>
    </w:lvl>
    <w:lvl w:ilvl="1">
      <w:start w:val="1"/>
      <w:numFmt w:val="decimal"/>
      <w:lvlText w:val="%1.%2"/>
      <w:lvlJc w:val="left"/>
      <w:pPr>
        <w:ind w:left="696" w:hanging="360"/>
        <w:jc w:val="left"/>
      </w:pPr>
      <w:rPr>
        <w:rFonts w:hint="default" w:ascii="Times New Roman" w:hAnsi="Times New Roman" w:eastAsia="Times New Roman" w:cs="Times New Roman"/>
        <w:w w:val="100"/>
        <w:sz w:val="24"/>
        <w:szCs w:val="24"/>
        <w:lang w:val="zh-CN" w:eastAsia="zh-CN" w:bidi="zh-CN"/>
      </w:rPr>
    </w:lvl>
    <w:lvl w:ilvl="2">
      <w:start w:val="1"/>
      <w:numFmt w:val="decimal"/>
      <w:lvlText w:val="%1.%2.%3"/>
      <w:lvlJc w:val="left"/>
      <w:pPr>
        <w:ind w:left="1356" w:hanging="540"/>
        <w:jc w:val="right"/>
      </w:pPr>
      <w:rPr>
        <w:rFonts w:hint="default" w:ascii="Times New Roman" w:hAnsi="Times New Roman" w:eastAsia="Times New Roman" w:cs="Times New Roman"/>
        <w:w w:val="100"/>
        <w:sz w:val="24"/>
        <w:szCs w:val="24"/>
        <w:lang w:val="zh-CN" w:eastAsia="zh-CN" w:bidi="zh-CN"/>
      </w:rPr>
    </w:lvl>
    <w:lvl w:ilvl="3">
      <w:start w:val="0"/>
      <w:numFmt w:val="bullet"/>
      <w:lvlText w:val="•"/>
      <w:lvlJc w:val="left"/>
      <w:pPr>
        <w:ind w:left="3281" w:hanging="540"/>
      </w:pPr>
      <w:rPr>
        <w:rFonts w:hint="default"/>
        <w:lang w:val="zh-CN" w:eastAsia="zh-CN" w:bidi="zh-CN"/>
      </w:rPr>
    </w:lvl>
    <w:lvl w:ilvl="4">
      <w:start w:val="0"/>
      <w:numFmt w:val="bullet"/>
      <w:lvlText w:val="•"/>
      <w:lvlJc w:val="left"/>
      <w:pPr>
        <w:ind w:left="4242" w:hanging="540"/>
      </w:pPr>
      <w:rPr>
        <w:rFonts w:hint="default"/>
        <w:lang w:val="zh-CN" w:eastAsia="zh-CN" w:bidi="zh-CN"/>
      </w:rPr>
    </w:lvl>
    <w:lvl w:ilvl="5">
      <w:start w:val="0"/>
      <w:numFmt w:val="bullet"/>
      <w:lvlText w:val="•"/>
      <w:lvlJc w:val="left"/>
      <w:pPr>
        <w:ind w:left="5203" w:hanging="540"/>
      </w:pPr>
      <w:rPr>
        <w:rFonts w:hint="default"/>
        <w:lang w:val="zh-CN" w:eastAsia="zh-CN" w:bidi="zh-CN"/>
      </w:rPr>
    </w:lvl>
    <w:lvl w:ilvl="6">
      <w:start w:val="0"/>
      <w:numFmt w:val="bullet"/>
      <w:lvlText w:val="•"/>
      <w:lvlJc w:val="left"/>
      <w:pPr>
        <w:ind w:left="6163" w:hanging="540"/>
      </w:pPr>
      <w:rPr>
        <w:rFonts w:hint="default"/>
        <w:lang w:val="zh-CN" w:eastAsia="zh-CN" w:bidi="zh-CN"/>
      </w:rPr>
    </w:lvl>
    <w:lvl w:ilvl="7">
      <w:start w:val="0"/>
      <w:numFmt w:val="bullet"/>
      <w:lvlText w:val="•"/>
      <w:lvlJc w:val="left"/>
      <w:pPr>
        <w:ind w:left="7124" w:hanging="540"/>
      </w:pPr>
      <w:rPr>
        <w:rFonts w:hint="default"/>
        <w:lang w:val="zh-CN" w:eastAsia="zh-CN" w:bidi="zh-CN"/>
      </w:rPr>
    </w:lvl>
    <w:lvl w:ilvl="8">
      <w:start w:val="0"/>
      <w:numFmt w:val="bullet"/>
      <w:lvlText w:val="•"/>
      <w:lvlJc w:val="left"/>
      <w:pPr>
        <w:ind w:left="8085" w:hanging="540"/>
      </w:pPr>
      <w:rPr>
        <w:rFonts w:hint="default"/>
        <w:lang w:val="zh-CN" w:eastAsia="zh-CN" w:bidi="zh-CN"/>
      </w:rPr>
    </w:lvl>
  </w:abstractNum>
  <w:abstractNum w:abstractNumId="7">
    <w:multiLevelType w:val="hybridMultilevel"/>
    <w:lvl w:ilvl="0">
      <w:start w:val="2"/>
      <w:numFmt w:val="decimal"/>
      <w:lvlText w:val="%1"/>
      <w:lvlJc w:val="left"/>
      <w:pPr>
        <w:ind w:left="1176" w:hanging="360"/>
        <w:jc w:val="left"/>
      </w:pPr>
      <w:rPr>
        <w:rFonts w:hint="default"/>
        <w:lang w:val="zh-CN" w:eastAsia="zh-CN" w:bidi="zh-CN"/>
      </w:rPr>
    </w:lvl>
    <w:lvl w:ilvl="1">
      <w:start w:val="3"/>
      <w:numFmt w:val="decimal"/>
      <w:lvlText w:val="%1.%2"/>
      <w:lvlJc w:val="left"/>
      <w:pPr>
        <w:ind w:left="1176" w:hanging="360"/>
        <w:jc w:val="left"/>
      </w:pPr>
      <w:rPr>
        <w:rFonts w:hint="default" w:ascii="Times New Roman" w:hAnsi="Times New Roman" w:eastAsia="Times New Roman" w:cs="Times New Roman"/>
        <w:b/>
        <w:bCs/>
        <w:w w:val="99"/>
        <w:sz w:val="24"/>
        <w:szCs w:val="24"/>
        <w:lang w:val="zh-CN" w:eastAsia="zh-CN" w:bidi="zh-CN"/>
      </w:rPr>
    </w:lvl>
    <w:lvl w:ilvl="2">
      <w:start w:val="0"/>
      <w:numFmt w:val="bullet"/>
      <w:lvlText w:val="•"/>
      <w:lvlJc w:val="left"/>
      <w:pPr>
        <w:ind w:left="2945" w:hanging="360"/>
      </w:pPr>
      <w:rPr>
        <w:rFonts w:hint="default"/>
        <w:lang w:val="zh-CN" w:eastAsia="zh-CN" w:bidi="zh-CN"/>
      </w:rPr>
    </w:lvl>
    <w:lvl w:ilvl="3">
      <w:start w:val="0"/>
      <w:numFmt w:val="bullet"/>
      <w:lvlText w:val="•"/>
      <w:lvlJc w:val="left"/>
      <w:pPr>
        <w:ind w:left="3828" w:hanging="360"/>
      </w:pPr>
      <w:rPr>
        <w:rFonts w:hint="default"/>
        <w:lang w:val="zh-CN" w:eastAsia="zh-CN" w:bidi="zh-CN"/>
      </w:rPr>
    </w:lvl>
    <w:lvl w:ilvl="4">
      <w:start w:val="0"/>
      <w:numFmt w:val="bullet"/>
      <w:lvlText w:val="•"/>
      <w:lvlJc w:val="left"/>
      <w:pPr>
        <w:ind w:left="4710" w:hanging="360"/>
      </w:pPr>
      <w:rPr>
        <w:rFonts w:hint="default"/>
        <w:lang w:val="zh-CN" w:eastAsia="zh-CN" w:bidi="zh-CN"/>
      </w:rPr>
    </w:lvl>
    <w:lvl w:ilvl="5">
      <w:start w:val="0"/>
      <w:numFmt w:val="bullet"/>
      <w:lvlText w:val="•"/>
      <w:lvlJc w:val="left"/>
      <w:pPr>
        <w:ind w:left="5593" w:hanging="360"/>
      </w:pPr>
      <w:rPr>
        <w:rFonts w:hint="default"/>
        <w:lang w:val="zh-CN" w:eastAsia="zh-CN" w:bidi="zh-CN"/>
      </w:rPr>
    </w:lvl>
    <w:lvl w:ilvl="6">
      <w:start w:val="0"/>
      <w:numFmt w:val="bullet"/>
      <w:lvlText w:val="•"/>
      <w:lvlJc w:val="left"/>
      <w:pPr>
        <w:ind w:left="6476" w:hanging="360"/>
      </w:pPr>
      <w:rPr>
        <w:rFonts w:hint="default"/>
        <w:lang w:val="zh-CN" w:eastAsia="zh-CN" w:bidi="zh-CN"/>
      </w:rPr>
    </w:lvl>
    <w:lvl w:ilvl="7">
      <w:start w:val="0"/>
      <w:numFmt w:val="bullet"/>
      <w:lvlText w:val="•"/>
      <w:lvlJc w:val="left"/>
      <w:pPr>
        <w:ind w:left="7358" w:hanging="360"/>
      </w:pPr>
      <w:rPr>
        <w:rFonts w:hint="default"/>
        <w:lang w:val="zh-CN" w:eastAsia="zh-CN" w:bidi="zh-CN"/>
      </w:rPr>
    </w:lvl>
    <w:lvl w:ilvl="8">
      <w:start w:val="0"/>
      <w:numFmt w:val="bullet"/>
      <w:lvlText w:val="•"/>
      <w:lvlJc w:val="left"/>
      <w:pPr>
        <w:ind w:left="8241" w:hanging="360"/>
      </w:pPr>
      <w:rPr>
        <w:rFonts w:hint="default"/>
        <w:lang w:val="zh-CN" w:eastAsia="zh-CN" w:bidi="zh-CN"/>
      </w:rPr>
    </w:lvl>
  </w:abstractNum>
  <w:abstractNum w:abstractNumId="6">
    <w:multiLevelType w:val="hybridMultilevel"/>
    <w:lvl w:ilvl="0">
      <w:start w:val="1"/>
      <w:numFmt w:val="decimal"/>
      <w:lvlText w:val="%1"/>
      <w:lvlJc w:val="left"/>
      <w:pPr>
        <w:ind w:left="1339" w:hanging="540"/>
        <w:jc w:val="left"/>
      </w:pPr>
      <w:rPr>
        <w:rFonts w:hint="default"/>
        <w:lang w:val="zh-CN" w:eastAsia="zh-CN" w:bidi="zh-CN"/>
      </w:rPr>
    </w:lvl>
    <w:lvl w:ilvl="1">
      <w:start w:val="1"/>
      <w:numFmt w:val="decimal"/>
      <w:lvlText w:val="%1.%2"/>
      <w:lvlJc w:val="left"/>
      <w:pPr>
        <w:ind w:left="1339" w:hanging="540"/>
        <w:jc w:val="left"/>
      </w:pPr>
      <w:rPr>
        <w:rFonts w:hint="default"/>
        <w:lang w:val="zh-CN" w:eastAsia="zh-CN" w:bidi="zh-CN"/>
      </w:rPr>
    </w:lvl>
    <w:lvl w:ilvl="2">
      <w:start w:val="7"/>
      <w:numFmt w:val="decimal"/>
      <w:lvlText w:val="%1.%2.%3"/>
      <w:lvlJc w:val="left"/>
      <w:pPr>
        <w:ind w:left="1339"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940" w:hanging="540"/>
      </w:pPr>
      <w:rPr>
        <w:rFonts w:hint="default"/>
        <w:lang w:val="zh-CN" w:eastAsia="zh-CN" w:bidi="zh-CN"/>
      </w:rPr>
    </w:lvl>
    <w:lvl w:ilvl="4">
      <w:start w:val="0"/>
      <w:numFmt w:val="bullet"/>
      <w:lvlText w:val="•"/>
      <w:lvlJc w:val="left"/>
      <w:pPr>
        <w:ind w:left="4806" w:hanging="540"/>
      </w:pPr>
      <w:rPr>
        <w:rFonts w:hint="default"/>
        <w:lang w:val="zh-CN" w:eastAsia="zh-CN" w:bidi="zh-CN"/>
      </w:rPr>
    </w:lvl>
    <w:lvl w:ilvl="5">
      <w:start w:val="0"/>
      <w:numFmt w:val="bullet"/>
      <w:lvlText w:val="•"/>
      <w:lvlJc w:val="left"/>
      <w:pPr>
        <w:ind w:left="5673" w:hanging="540"/>
      </w:pPr>
      <w:rPr>
        <w:rFonts w:hint="default"/>
        <w:lang w:val="zh-CN" w:eastAsia="zh-CN" w:bidi="zh-CN"/>
      </w:rPr>
    </w:lvl>
    <w:lvl w:ilvl="6">
      <w:start w:val="0"/>
      <w:numFmt w:val="bullet"/>
      <w:lvlText w:val="•"/>
      <w:lvlJc w:val="left"/>
      <w:pPr>
        <w:ind w:left="6540" w:hanging="540"/>
      </w:pPr>
      <w:rPr>
        <w:rFonts w:hint="default"/>
        <w:lang w:val="zh-CN" w:eastAsia="zh-CN" w:bidi="zh-CN"/>
      </w:rPr>
    </w:lvl>
    <w:lvl w:ilvl="7">
      <w:start w:val="0"/>
      <w:numFmt w:val="bullet"/>
      <w:lvlText w:val="•"/>
      <w:lvlJc w:val="left"/>
      <w:pPr>
        <w:ind w:left="7406" w:hanging="540"/>
      </w:pPr>
      <w:rPr>
        <w:rFonts w:hint="default"/>
        <w:lang w:val="zh-CN" w:eastAsia="zh-CN" w:bidi="zh-CN"/>
      </w:rPr>
    </w:lvl>
    <w:lvl w:ilvl="8">
      <w:start w:val="0"/>
      <w:numFmt w:val="bullet"/>
      <w:lvlText w:val="•"/>
      <w:lvlJc w:val="left"/>
      <w:pPr>
        <w:ind w:left="8273" w:hanging="540"/>
      </w:pPr>
      <w:rPr>
        <w:rFonts w:hint="default"/>
        <w:lang w:val="zh-CN" w:eastAsia="zh-CN" w:bidi="zh-CN"/>
      </w:rPr>
    </w:lvl>
  </w:abstractNum>
  <w:abstractNum w:abstractNumId="5">
    <w:multiLevelType w:val="hybridMultilevel"/>
    <w:lvl w:ilvl="0">
      <w:start w:val="1"/>
      <w:numFmt w:val="decimal"/>
      <w:lvlText w:val="%1"/>
      <w:lvlJc w:val="left"/>
      <w:pPr>
        <w:ind w:left="1126" w:hanging="540"/>
        <w:jc w:val="left"/>
      </w:pPr>
      <w:rPr>
        <w:rFonts w:hint="default"/>
        <w:lang w:val="zh-CN" w:eastAsia="zh-CN" w:bidi="zh-CN"/>
      </w:rPr>
    </w:lvl>
    <w:lvl w:ilvl="1">
      <w:start w:val="1"/>
      <w:numFmt w:val="decimal"/>
      <w:lvlText w:val="%1.%2"/>
      <w:lvlJc w:val="left"/>
      <w:pPr>
        <w:ind w:left="1126" w:hanging="540"/>
        <w:jc w:val="left"/>
      </w:pPr>
      <w:rPr>
        <w:rFonts w:hint="default"/>
        <w:lang w:val="zh-CN" w:eastAsia="zh-CN" w:bidi="zh-CN"/>
      </w:rPr>
    </w:lvl>
    <w:lvl w:ilvl="2">
      <w:start w:val="4"/>
      <w:numFmt w:val="decimal"/>
      <w:lvlText w:val="%1.%2.%3"/>
      <w:lvlJc w:val="left"/>
      <w:pPr>
        <w:ind w:left="112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647" w:hanging="540"/>
      </w:pPr>
      <w:rPr>
        <w:rFonts w:hint="default"/>
        <w:lang w:val="zh-CN" w:eastAsia="zh-CN" w:bidi="zh-CN"/>
      </w:rPr>
    </w:lvl>
    <w:lvl w:ilvl="4">
      <w:start w:val="0"/>
      <w:numFmt w:val="bullet"/>
      <w:lvlText w:val="•"/>
      <w:lvlJc w:val="left"/>
      <w:pPr>
        <w:ind w:left="4490" w:hanging="540"/>
      </w:pPr>
      <w:rPr>
        <w:rFonts w:hint="default"/>
        <w:lang w:val="zh-CN" w:eastAsia="zh-CN" w:bidi="zh-CN"/>
      </w:rPr>
    </w:lvl>
    <w:lvl w:ilvl="5">
      <w:start w:val="0"/>
      <w:numFmt w:val="bullet"/>
      <w:lvlText w:val="•"/>
      <w:lvlJc w:val="left"/>
      <w:pPr>
        <w:ind w:left="5332" w:hanging="540"/>
      </w:pPr>
      <w:rPr>
        <w:rFonts w:hint="default"/>
        <w:lang w:val="zh-CN" w:eastAsia="zh-CN" w:bidi="zh-CN"/>
      </w:rPr>
    </w:lvl>
    <w:lvl w:ilvl="6">
      <w:start w:val="0"/>
      <w:numFmt w:val="bullet"/>
      <w:lvlText w:val="•"/>
      <w:lvlJc w:val="left"/>
      <w:pPr>
        <w:ind w:left="6175" w:hanging="540"/>
      </w:pPr>
      <w:rPr>
        <w:rFonts w:hint="default"/>
        <w:lang w:val="zh-CN" w:eastAsia="zh-CN" w:bidi="zh-CN"/>
      </w:rPr>
    </w:lvl>
    <w:lvl w:ilvl="7">
      <w:start w:val="0"/>
      <w:numFmt w:val="bullet"/>
      <w:lvlText w:val="•"/>
      <w:lvlJc w:val="left"/>
      <w:pPr>
        <w:ind w:left="7017" w:hanging="540"/>
      </w:pPr>
      <w:rPr>
        <w:rFonts w:hint="default"/>
        <w:lang w:val="zh-CN" w:eastAsia="zh-CN" w:bidi="zh-CN"/>
      </w:rPr>
    </w:lvl>
    <w:lvl w:ilvl="8">
      <w:start w:val="0"/>
      <w:numFmt w:val="bullet"/>
      <w:lvlText w:val="•"/>
      <w:lvlJc w:val="left"/>
      <w:pPr>
        <w:ind w:left="7860" w:hanging="540"/>
      </w:pPr>
      <w:rPr>
        <w:rFonts w:hint="default"/>
        <w:lang w:val="zh-CN" w:eastAsia="zh-CN" w:bidi="zh-CN"/>
      </w:rPr>
    </w:lvl>
  </w:abstractNum>
  <w:abstractNum w:abstractNumId="4">
    <w:multiLevelType w:val="hybridMultilevel"/>
    <w:lvl w:ilvl="0">
      <w:start w:val="1"/>
      <w:numFmt w:val="decimal"/>
      <w:lvlText w:val="（%1）"/>
      <w:lvlJc w:val="left"/>
      <w:pPr>
        <w:ind w:left="118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3">
    <w:multiLevelType w:val="hybridMultilevel"/>
    <w:lvl w:ilvl="0">
      <w:start w:val="1"/>
      <w:numFmt w:val="decimal"/>
      <w:lvlText w:val="（%1）"/>
      <w:lvlJc w:val="left"/>
      <w:pPr>
        <w:ind w:left="118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2">
    <w:multiLevelType w:val="hybridMultilevel"/>
    <w:lvl w:ilvl="0">
      <w:start w:val="1"/>
      <w:numFmt w:val="decimal"/>
      <w:lvlText w:val="%1"/>
      <w:lvlJc w:val="left"/>
      <w:pPr>
        <w:ind w:left="466" w:hanging="360"/>
        <w:jc w:val="left"/>
      </w:pPr>
      <w:rPr>
        <w:rFonts w:hint="default"/>
        <w:lang w:val="zh-CN" w:eastAsia="zh-CN" w:bidi="zh-CN"/>
      </w:rPr>
    </w:lvl>
    <w:lvl w:ilvl="1">
      <w:start w:val="1"/>
      <w:numFmt w:val="decimal"/>
      <w:lvlText w:val="%1.%2"/>
      <w:lvlJc w:val="left"/>
      <w:pPr>
        <w:ind w:left="466" w:hanging="360"/>
        <w:jc w:val="left"/>
      </w:pPr>
      <w:rPr>
        <w:rFonts w:hint="default" w:ascii="Times New Roman" w:hAnsi="Times New Roman" w:eastAsia="Times New Roman" w:cs="Times New Roman"/>
        <w:b/>
        <w:bCs/>
        <w:w w:val="99"/>
        <w:sz w:val="24"/>
        <w:szCs w:val="24"/>
        <w:lang w:val="zh-CN" w:eastAsia="zh-CN" w:bidi="zh-CN"/>
      </w:rPr>
    </w:lvl>
    <w:lvl w:ilvl="2">
      <w:start w:val="1"/>
      <w:numFmt w:val="decimal"/>
      <w:lvlText w:val="%1.%2.%3"/>
      <w:lvlJc w:val="left"/>
      <w:pPr>
        <w:ind w:left="112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2992" w:hanging="540"/>
      </w:pPr>
      <w:rPr>
        <w:rFonts w:hint="default"/>
        <w:lang w:val="zh-CN" w:eastAsia="zh-CN" w:bidi="zh-CN"/>
      </w:rPr>
    </w:lvl>
    <w:lvl w:ilvl="4">
      <w:start w:val="0"/>
      <w:numFmt w:val="bullet"/>
      <w:lvlText w:val="•"/>
      <w:lvlJc w:val="left"/>
      <w:pPr>
        <w:ind w:left="3928" w:hanging="540"/>
      </w:pPr>
      <w:rPr>
        <w:rFonts w:hint="default"/>
        <w:lang w:val="zh-CN" w:eastAsia="zh-CN" w:bidi="zh-CN"/>
      </w:rPr>
    </w:lvl>
    <w:lvl w:ilvl="5">
      <w:start w:val="0"/>
      <w:numFmt w:val="bullet"/>
      <w:lvlText w:val="•"/>
      <w:lvlJc w:val="left"/>
      <w:pPr>
        <w:ind w:left="4864" w:hanging="540"/>
      </w:pPr>
      <w:rPr>
        <w:rFonts w:hint="default"/>
        <w:lang w:val="zh-CN" w:eastAsia="zh-CN" w:bidi="zh-CN"/>
      </w:rPr>
    </w:lvl>
    <w:lvl w:ilvl="6">
      <w:start w:val="0"/>
      <w:numFmt w:val="bullet"/>
      <w:lvlText w:val="•"/>
      <w:lvlJc w:val="left"/>
      <w:pPr>
        <w:ind w:left="5800" w:hanging="540"/>
      </w:pPr>
      <w:rPr>
        <w:rFonts w:hint="default"/>
        <w:lang w:val="zh-CN" w:eastAsia="zh-CN" w:bidi="zh-CN"/>
      </w:rPr>
    </w:lvl>
    <w:lvl w:ilvl="7">
      <w:start w:val="0"/>
      <w:numFmt w:val="bullet"/>
      <w:lvlText w:val="•"/>
      <w:lvlJc w:val="left"/>
      <w:pPr>
        <w:ind w:left="6736" w:hanging="540"/>
      </w:pPr>
      <w:rPr>
        <w:rFonts w:hint="default"/>
        <w:lang w:val="zh-CN" w:eastAsia="zh-CN" w:bidi="zh-CN"/>
      </w:rPr>
    </w:lvl>
    <w:lvl w:ilvl="8">
      <w:start w:val="0"/>
      <w:numFmt w:val="bullet"/>
      <w:lvlText w:val="•"/>
      <w:lvlJc w:val="left"/>
      <w:pPr>
        <w:ind w:left="7672" w:hanging="540"/>
      </w:pPr>
      <w:rPr>
        <w:rFonts w:hint="default"/>
        <w:lang w:val="zh-CN" w:eastAsia="zh-CN" w:bidi="zh-CN"/>
      </w:rPr>
    </w:lvl>
  </w:abstractNum>
  <w:abstractNum w:abstractNumId="1">
    <w:multiLevelType w:val="hybridMultilevel"/>
    <w:lvl w:ilvl="0">
      <w:start w:val="1"/>
      <w:numFmt w:val="decimal"/>
      <w:lvlText w:val="%1"/>
      <w:lvlJc w:val="left"/>
      <w:pPr>
        <w:ind w:left="436" w:hanging="209"/>
        <w:jc w:val="right"/>
      </w:pPr>
      <w:rPr>
        <w:rFonts w:hint="default" w:ascii="Times New Roman" w:hAnsi="Times New Roman" w:eastAsia="Times New Roman" w:cs="Times New Roman"/>
        <w:w w:val="100"/>
        <w:sz w:val="28"/>
        <w:szCs w:val="28"/>
        <w:lang w:val="zh-CN" w:eastAsia="zh-CN" w:bidi="zh-CN"/>
      </w:rPr>
    </w:lvl>
    <w:lvl w:ilvl="1">
      <w:start w:val="1"/>
      <w:numFmt w:val="decimal"/>
      <w:lvlText w:val="（%2）"/>
      <w:lvlJc w:val="left"/>
      <w:pPr>
        <w:ind w:left="1400"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2356" w:hanging="601"/>
      </w:pPr>
      <w:rPr>
        <w:rFonts w:hint="default"/>
        <w:lang w:val="zh-CN" w:eastAsia="zh-CN" w:bidi="zh-CN"/>
      </w:rPr>
    </w:lvl>
    <w:lvl w:ilvl="3">
      <w:start w:val="0"/>
      <w:numFmt w:val="bullet"/>
      <w:lvlText w:val="•"/>
      <w:lvlJc w:val="left"/>
      <w:pPr>
        <w:ind w:left="3312" w:hanging="601"/>
      </w:pPr>
      <w:rPr>
        <w:rFonts w:hint="default"/>
        <w:lang w:val="zh-CN" w:eastAsia="zh-CN" w:bidi="zh-CN"/>
      </w:rPr>
    </w:lvl>
    <w:lvl w:ilvl="4">
      <w:start w:val="0"/>
      <w:numFmt w:val="bullet"/>
      <w:lvlText w:val="•"/>
      <w:lvlJc w:val="left"/>
      <w:pPr>
        <w:ind w:left="4269" w:hanging="601"/>
      </w:pPr>
      <w:rPr>
        <w:rFonts w:hint="default"/>
        <w:lang w:val="zh-CN" w:eastAsia="zh-CN" w:bidi="zh-CN"/>
      </w:rPr>
    </w:lvl>
    <w:lvl w:ilvl="5">
      <w:start w:val="0"/>
      <w:numFmt w:val="bullet"/>
      <w:lvlText w:val="•"/>
      <w:lvlJc w:val="left"/>
      <w:pPr>
        <w:ind w:left="5225" w:hanging="601"/>
      </w:pPr>
      <w:rPr>
        <w:rFonts w:hint="default"/>
        <w:lang w:val="zh-CN" w:eastAsia="zh-CN" w:bidi="zh-CN"/>
      </w:rPr>
    </w:lvl>
    <w:lvl w:ilvl="6">
      <w:start w:val="0"/>
      <w:numFmt w:val="bullet"/>
      <w:lvlText w:val="•"/>
      <w:lvlJc w:val="left"/>
      <w:pPr>
        <w:ind w:left="6181" w:hanging="601"/>
      </w:pPr>
      <w:rPr>
        <w:rFonts w:hint="default"/>
        <w:lang w:val="zh-CN" w:eastAsia="zh-CN" w:bidi="zh-CN"/>
      </w:rPr>
    </w:lvl>
    <w:lvl w:ilvl="7">
      <w:start w:val="0"/>
      <w:numFmt w:val="bullet"/>
      <w:lvlText w:val="•"/>
      <w:lvlJc w:val="left"/>
      <w:pPr>
        <w:ind w:left="7138" w:hanging="601"/>
      </w:pPr>
      <w:rPr>
        <w:rFonts w:hint="default"/>
        <w:lang w:val="zh-CN" w:eastAsia="zh-CN" w:bidi="zh-CN"/>
      </w:rPr>
    </w:lvl>
    <w:lvl w:ilvl="8">
      <w:start w:val="0"/>
      <w:numFmt w:val="bullet"/>
      <w:lvlText w:val="•"/>
      <w:lvlJc w:val="left"/>
      <w:pPr>
        <w:ind w:left="8094" w:hanging="601"/>
      </w:pPr>
      <w:rPr>
        <w:rFonts w:hint="default"/>
        <w:lang w:val="zh-CN" w:eastAsia="zh-CN" w:bidi="zh-CN"/>
      </w:rPr>
    </w:lvl>
  </w:abstractNum>
  <w:abstractNum w:abstractNumId="0">
    <w:multiLevelType w:val="hybridMultilevel"/>
    <w:lvl w:ilvl="0">
      <w:start w:val="1"/>
      <w:numFmt w:val="decimal"/>
      <w:lvlText w:val="%1"/>
      <w:lvlJc w:val="left"/>
      <w:pPr>
        <w:ind w:left="384" w:hanging="156"/>
        <w:jc w:val="left"/>
      </w:pPr>
      <w:rPr>
        <w:rFonts w:hint="default" w:ascii="Times New Roman" w:hAnsi="Times New Roman" w:eastAsia="Times New Roman" w:cs="Times New Roman"/>
        <w:w w:val="99"/>
        <w:sz w:val="21"/>
        <w:szCs w:val="21"/>
        <w:lang w:val="zh-CN" w:eastAsia="zh-CN" w:bidi="zh-CN"/>
      </w:rPr>
    </w:lvl>
    <w:lvl w:ilvl="1">
      <w:start w:val="1"/>
      <w:numFmt w:val="decimal"/>
      <w:lvlText w:val="%1.%2"/>
      <w:lvlJc w:val="left"/>
      <w:pPr>
        <w:ind w:left="962" w:hanging="315"/>
        <w:jc w:val="left"/>
      </w:pPr>
      <w:rPr>
        <w:rFonts w:hint="default" w:ascii="Times New Roman" w:hAnsi="Times New Roman" w:eastAsia="Times New Roman" w:cs="Times New Roman"/>
        <w:spacing w:val="0"/>
        <w:w w:val="99"/>
        <w:sz w:val="21"/>
        <w:szCs w:val="21"/>
        <w:lang w:val="zh-CN" w:eastAsia="zh-CN" w:bidi="zh-CN"/>
      </w:rPr>
    </w:lvl>
    <w:lvl w:ilvl="2">
      <w:start w:val="0"/>
      <w:numFmt w:val="bullet"/>
      <w:lvlText w:val="•"/>
      <w:lvlJc w:val="left"/>
      <w:pPr>
        <w:ind w:left="1965" w:hanging="315"/>
      </w:pPr>
      <w:rPr>
        <w:rFonts w:hint="default"/>
        <w:lang w:val="zh-CN" w:eastAsia="zh-CN" w:bidi="zh-CN"/>
      </w:rPr>
    </w:lvl>
    <w:lvl w:ilvl="3">
      <w:start w:val="0"/>
      <w:numFmt w:val="bullet"/>
      <w:lvlText w:val="•"/>
      <w:lvlJc w:val="left"/>
      <w:pPr>
        <w:ind w:left="2970" w:hanging="315"/>
      </w:pPr>
      <w:rPr>
        <w:rFonts w:hint="default"/>
        <w:lang w:val="zh-CN" w:eastAsia="zh-CN" w:bidi="zh-CN"/>
      </w:rPr>
    </w:lvl>
    <w:lvl w:ilvl="4">
      <w:start w:val="0"/>
      <w:numFmt w:val="bullet"/>
      <w:lvlText w:val="•"/>
      <w:lvlJc w:val="left"/>
      <w:pPr>
        <w:ind w:left="3975" w:hanging="315"/>
      </w:pPr>
      <w:rPr>
        <w:rFonts w:hint="default"/>
        <w:lang w:val="zh-CN" w:eastAsia="zh-CN" w:bidi="zh-CN"/>
      </w:rPr>
    </w:lvl>
    <w:lvl w:ilvl="5">
      <w:start w:val="0"/>
      <w:numFmt w:val="bullet"/>
      <w:lvlText w:val="•"/>
      <w:lvlJc w:val="left"/>
      <w:pPr>
        <w:ind w:left="4980" w:hanging="315"/>
      </w:pPr>
      <w:rPr>
        <w:rFonts w:hint="default"/>
        <w:lang w:val="zh-CN" w:eastAsia="zh-CN" w:bidi="zh-CN"/>
      </w:rPr>
    </w:lvl>
    <w:lvl w:ilvl="6">
      <w:start w:val="0"/>
      <w:numFmt w:val="bullet"/>
      <w:lvlText w:val="•"/>
      <w:lvlJc w:val="left"/>
      <w:pPr>
        <w:ind w:left="5986" w:hanging="315"/>
      </w:pPr>
      <w:rPr>
        <w:rFonts w:hint="default"/>
        <w:lang w:val="zh-CN" w:eastAsia="zh-CN" w:bidi="zh-CN"/>
      </w:rPr>
    </w:lvl>
    <w:lvl w:ilvl="7">
      <w:start w:val="0"/>
      <w:numFmt w:val="bullet"/>
      <w:lvlText w:val="•"/>
      <w:lvlJc w:val="left"/>
      <w:pPr>
        <w:ind w:left="6991" w:hanging="315"/>
      </w:pPr>
      <w:rPr>
        <w:rFonts w:hint="default"/>
        <w:lang w:val="zh-CN" w:eastAsia="zh-CN" w:bidi="zh-CN"/>
      </w:rPr>
    </w:lvl>
    <w:lvl w:ilvl="8">
      <w:start w:val="0"/>
      <w:numFmt w:val="bullet"/>
      <w:lvlText w:val="•"/>
      <w:lvlJc w:val="left"/>
      <w:pPr>
        <w:ind w:left="7996" w:hanging="315"/>
      </w:pPr>
      <w:rPr>
        <w:rFonts w:hint="default"/>
        <w:lang w:val="zh-CN" w:eastAsia="zh-CN" w:bidi="zh-CN"/>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3"/>
      <w:ind w:left="384" w:hanging="157"/>
    </w:pPr>
    <w:rPr>
      <w:rFonts w:ascii="黑体" w:hAnsi="黑体" w:eastAsia="黑体" w:cs="黑体"/>
      <w:sz w:val="21"/>
      <w:szCs w:val="21"/>
      <w:lang w:val="zh-CN" w:eastAsia="zh-CN" w:bidi="zh-CN"/>
    </w:rPr>
  </w:style>
  <w:style w:styleId="TOC2" w:type="paragraph">
    <w:name w:val="TOC 2"/>
    <w:basedOn w:val="Normal"/>
    <w:uiPriority w:val="1"/>
    <w:qFormat/>
    <w:pPr>
      <w:spacing w:before="43"/>
      <w:ind w:left="962" w:hanging="315"/>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60"/>
      <w:ind w:left="436" w:hanging="210"/>
      <w:outlineLvl w:val="1"/>
    </w:pPr>
    <w:rPr>
      <w:rFonts w:ascii="黑体" w:hAnsi="黑体" w:eastAsia="黑体" w:cs="黑体"/>
      <w:sz w:val="28"/>
      <w:szCs w:val="28"/>
      <w:lang w:val="zh-CN" w:eastAsia="zh-CN" w:bidi="zh-CN"/>
    </w:rPr>
  </w:style>
  <w:style w:styleId="Heading2" w:type="paragraph">
    <w:name w:val="Heading 2"/>
    <w:basedOn w:val="Normal"/>
    <w:uiPriority w:val="1"/>
    <w:qFormat/>
    <w:pPr>
      <w:ind w:left="1097"/>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43"/>
      <w:ind w:left="384" w:hanging="36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png"/><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dc:creator>
  <dc:title>建设项目环境影响报告表</dc:title>
  <dcterms:created xsi:type="dcterms:W3CDTF">2019-07-16T02:24:27Z</dcterms:created>
  <dcterms:modified xsi:type="dcterms:W3CDTF">2019-07-16T02:24:27Z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WPS 文字</vt:lpwstr>
  </property>
  <property fmtid="{D5CDD505-2E9C-101B-9397-08002B2CF9AE}" pid="4" name="LastSaved">
    <vt:filetime>2019-07-16T00:00:00Z</vt:filetime>
  </property>
</Properties>
</file>